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7FAA" w14:textId="08DE0503" w:rsidR="00916640" w:rsidRPr="008D47A1" w:rsidRDefault="007E5FBC" w:rsidP="00122EDC">
      <w:pPr>
        <w:tabs>
          <w:tab w:val="left" w:pos="4590"/>
        </w:tabs>
        <w:jc w:val="center"/>
        <w:rPr>
          <w:rFonts w:ascii="Times New Roman" w:hAnsi="Times New Roman" w:cs="Times New Roman"/>
          <w:b/>
          <w:bCs/>
          <w:sz w:val="32"/>
          <w:szCs w:val="32"/>
        </w:rPr>
      </w:pPr>
      <w:r>
        <w:rPr>
          <w:rFonts w:ascii="Times New Roman" w:hAnsi="Times New Roman" w:cs="Times New Roman"/>
          <w:b/>
          <w:bCs/>
          <w:sz w:val="32"/>
          <w:szCs w:val="32"/>
        </w:rPr>
        <w:t xml:space="preserve">Zonal </w:t>
      </w:r>
      <w:r w:rsidR="00361AFA">
        <w:rPr>
          <w:rFonts w:ascii="Times New Roman" w:hAnsi="Times New Roman" w:cs="Times New Roman"/>
          <w:b/>
          <w:bCs/>
          <w:sz w:val="32"/>
          <w:szCs w:val="32"/>
        </w:rPr>
        <w:t>Load Factor Analysis</w:t>
      </w:r>
    </w:p>
    <w:p w14:paraId="6DC87540" w14:textId="3CA53D91" w:rsidR="008D47A1" w:rsidRDefault="008D47A1" w:rsidP="008D47A1">
      <w:pPr>
        <w:jc w:val="center"/>
        <w:rPr>
          <w:rFonts w:ascii="Times New Roman" w:hAnsi="Times New Roman" w:cs="Times New Roman"/>
        </w:rPr>
      </w:pPr>
      <w:r>
        <w:rPr>
          <w:rFonts w:ascii="Times New Roman" w:hAnsi="Times New Roman" w:cs="Times New Roman"/>
        </w:rPr>
        <w:t>Norbert Doerry</w:t>
      </w:r>
    </w:p>
    <w:p w14:paraId="3803BBE7" w14:textId="6513DFE7" w:rsidR="008D47A1" w:rsidRPr="008D47A1" w:rsidRDefault="00EE4B71" w:rsidP="008D47A1">
      <w:pPr>
        <w:jc w:val="center"/>
        <w:rPr>
          <w:rFonts w:ascii="Times New Roman" w:hAnsi="Times New Roman" w:cs="Times New Roman"/>
        </w:rPr>
      </w:pPr>
      <w:r>
        <w:rPr>
          <w:rFonts w:ascii="Times New Roman" w:hAnsi="Times New Roman" w:cs="Times New Roman"/>
        </w:rPr>
        <w:t xml:space="preserve">May </w:t>
      </w:r>
      <w:r w:rsidR="00900FB2">
        <w:rPr>
          <w:rFonts w:ascii="Times New Roman" w:hAnsi="Times New Roman" w:cs="Times New Roman"/>
        </w:rPr>
        <w:t>26</w:t>
      </w:r>
      <w:r w:rsidR="00C93341">
        <w:rPr>
          <w:rFonts w:ascii="Times New Roman" w:hAnsi="Times New Roman" w:cs="Times New Roman"/>
        </w:rPr>
        <w:t>, 2026</w:t>
      </w:r>
    </w:p>
    <w:p w14:paraId="25E850A8" w14:textId="7D869DAB" w:rsidR="00B237B7" w:rsidRDefault="008D47A1" w:rsidP="008A1DF5">
      <w:pPr>
        <w:pStyle w:val="ListParagraph"/>
        <w:numPr>
          <w:ilvl w:val="0"/>
          <w:numId w:val="1"/>
        </w:numPr>
        <w:contextualSpacing w:val="0"/>
        <w:rPr>
          <w:rFonts w:ascii="Times New Roman" w:hAnsi="Times New Roman" w:cs="Times New Roman"/>
        </w:rPr>
      </w:pPr>
      <w:r>
        <w:rPr>
          <w:rFonts w:ascii="Times New Roman" w:hAnsi="Times New Roman" w:cs="Times New Roman"/>
        </w:rPr>
        <w:t xml:space="preserve"> Introduction</w:t>
      </w:r>
    </w:p>
    <w:p w14:paraId="4D122FF5" w14:textId="773F1053" w:rsidR="003B6C46" w:rsidRPr="003B6C46" w:rsidRDefault="003B6C46" w:rsidP="00900FB2">
      <w:pPr>
        <w:jc w:val="both"/>
        <w:rPr>
          <w:rFonts w:ascii="Times New Roman" w:hAnsi="Times New Roman" w:cs="Times New Roman"/>
        </w:rPr>
      </w:pPr>
      <w:r>
        <w:rPr>
          <w:rFonts w:ascii="Times New Roman" w:hAnsi="Times New Roman" w:cs="Times New Roman"/>
        </w:rPr>
        <w:t xml:space="preserve">Zonal load factor analysis seeks to avoid inadvertently establishing too low of a power rating for power system equipment that may be possible with load factor analysis due to cycling and intermittent loads.  Setting load factors for 24-hour calculations is straight forward for loads: divide the </w:t>
      </w:r>
      <w:r w:rsidR="00900FB2">
        <w:rPr>
          <w:rFonts w:ascii="Times New Roman" w:hAnsi="Times New Roman" w:cs="Times New Roman"/>
        </w:rPr>
        <w:t>long-term</w:t>
      </w:r>
      <w:r>
        <w:rPr>
          <w:rFonts w:ascii="Times New Roman" w:hAnsi="Times New Roman" w:cs="Times New Roman"/>
        </w:rPr>
        <w:t xml:space="preserve"> average power in a given operational condition and ambient condition by the load’s connected load.  If the load is a cycling load, the average power is likely considerably less than the peak power; yet the power system should be capable of powering this peak load when the load is “on.”  If there are many cycling loads, then the probability that all the cycling loads are on at the same time is very low; the power system equipment</w:t>
      </w:r>
      <w:r w:rsidR="00900FB2">
        <w:rPr>
          <w:rFonts w:ascii="Times New Roman" w:hAnsi="Times New Roman" w:cs="Times New Roman"/>
        </w:rPr>
        <w:t xml:space="preserve"> usually does</w:t>
      </w:r>
      <w:r>
        <w:rPr>
          <w:rFonts w:ascii="Times New Roman" w:hAnsi="Times New Roman" w:cs="Times New Roman"/>
        </w:rPr>
        <w:t xml:space="preserve"> </w:t>
      </w:r>
      <w:r w:rsidR="00900FB2">
        <w:rPr>
          <w:rFonts w:ascii="Times New Roman" w:hAnsi="Times New Roman" w:cs="Times New Roman"/>
        </w:rPr>
        <w:t xml:space="preserve">not </w:t>
      </w:r>
      <w:r>
        <w:rPr>
          <w:rFonts w:ascii="Times New Roman" w:hAnsi="Times New Roman" w:cs="Times New Roman"/>
        </w:rPr>
        <w:t xml:space="preserve">need </w:t>
      </w:r>
      <w:r w:rsidR="00900FB2">
        <w:rPr>
          <w:rFonts w:ascii="Times New Roman" w:hAnsi="Times New Roman" w:cs="Times New Roman"/>
        </w:rPr>
        <w:t>to</w:t>
      </w:r>
      <w:r>
        <w:rPr>
          <w:rFonts w:ascii="Times New Roman" w:hAnsi="Times New Roman" w:cs="Times New Roman"/>
        </w:rPr>
        <w:t xml:space="preserve"> have the capability to supply all of the cycling loads at the same time.</w:t>
      </w:r>
    </w:p>
    <w:p w14:paraId="24C72F1E" w14:textId="5A2408C1" w:rsidR="00E652F3" w:rsidRDefault="00E652F3" w:rsidP="00E652F3">
      <w:pPr>
        <w:pStyle w:val="ListParagraph"/>
        <w:numPr>
          <w:ilvl w:val="0"/>
          <w:numId w:val="1"/>
        </w:numPr>
        <w:contextualSpacing w:val="0"/>
        <w:rPr>
          <w:rFonts w:ascii="Times New Roman" w:hAnsi="Times New Roman" w:cs="Times New Roman"/>
        </w:rPr>
      </w:pPr>
      <w:r>
        <w:rPr>
          <w:rFonts w:ascii="Times New Roman" w:hAnsi="Times New Roman" w:cs="Times New Roman"/>
        </w:rPr>
        <w:t>Cycling loads</w:t>
      </w:r>
    </w:p>
    <w:p w14:paraId="5860EB4A" w14:textId="49623C62" w:rsidR="00E652F3" w:rsidRDefault="00E652F3" w:rsidP="00E652F3">
      <w:pPr>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REF _Ref230343950 \h </w:instrText>
      </w:r>
      <w:r w:rsidR="0025295B">
        <w:rPr>
          <w:rFonts w:ascii="Times New Roman" w:hAnsi="Times New Roman" w:cs="Times New Roman"/>
        </w:rPr>
        <w:instrText xml:space="preserve"> \* MERGEFORMAT </w:instrText>
      </w:r>
      <w:r>
        <w:rPr>
          <w:rFonts w:ascii="Times New Roman" w:hAnsi="Times New Roman" w:cs="Times New Roman"/>
        </w:rPr>
      </w:r>
      <w:r>
        <w:rPr>
          <w:rFonts w:ascii="Times New Roman" w:hAnsi="Times New Roman" w:cs="Times New Roman"/>
        </w:rPr>
        <w:fldChar w:fldCharType="separate"/>
      </w:r>
      <w:r w:rsidRPr="0025295B">
        <w:rPr>
          <w:rFonts w:ascii="Times New Roman" w:hAnsi="Times New Roman" w:cs="Times New Roman"/>
        </w:rPr>
        <w:t>Figure 1</w:t>
      </w:r>
      <w:r>
        <w:rPr>
          <w:rFonts w:ascii="Times New Roman" w:hAnsi="Times New Roman" w:cs="Times New Roman"/>
        </w:rPr>
        <w:fldChar w:fldCharType="end"/>
      </w:r>
      <w:r>
        <w:rPr>
          <w:rFonts w:ascii="Times New Roman" w:hAnsi="Times New Roman" w:cs="Times New Roman"/>
        </w:rPr>
        <w:t xml:space="preserve"> </w:t>
      </w:r>
      <w:r w:rsidR="0025295B">
        <w:rPr>
          <w:rFonts w:ascii="Times New Roman" w:hAnsi="Times New Roman" w:cs="Times New Roman"/>
        </w:rPr>
        <w:t>d</w:t>
      </w:r>
      <w:r>
        <w:rPr>
          <w:rFonts w:ascii="Times New Roman" w:hAnsi="Times New Roman" w:cs="Times New Roman"/>
        </w:rPr>
        <w:t>epicts a waveform of a cycling load</w:t>
      </w:r>
      <w:r w:rsidR="00180EC1">
        <w:rPr>
          <w:rFonts w:ascii="Times New Roman" w:hAnsi="Times New Roman" w:cs="Times New Roman"/>
        </w:rPr>
        <w:t xml:space="preserve"> along with nine constant power (10 kW) loads</w:t>
      </w:r>
      <w:r>
        <w:rPr>
          <w:rFonts w:ascii="Times New Roman" w:hAnsi="Times New Roman" w:cs="Times New Roman"/>
        </w:rPr>
        <w:t xml:space="preserve">.  Cycling loads are typically on for a period of time, then off for possibly a different period of time.  The time that the load is off and the load is on can vary.  </w:t>
      </w:r>
      <w:r w:rsidR="000A30A0">
        <w:rPr>
          <w:rFonts w:ascii="Times New Roman" w:hAnsi="Times New Roman" w:cs="Times New Roman"/>
        </w:rPr>
        <w:t xml:space="preserve">In this case, the </w:t>
      </w:r>
      <w:r w:rsidR="00180EC1">
        <w:rPr>
          <w:rFonts w:ascii="Times New Roman" w:hAnsi="Times New Roman" w:cs="Times New Roman"/>
        </w:rPr>
        <w:t xml:space="preserve">cycling </w:t>
      </w:r>
      <w:r w:rsidR="000A30A0">
        <w:rPr>
          <w:rFonts w:ascii="Times New Roman" w:hAnsi="Times New Roman" w:cs="Times New Roman"/>
        </w:rPr>
        <w:t xml:space="preserve">load has a peak </w:t>
      </w:r>
      <w:r w:rsidR="00180EC1">
        <w:rPr>
          <w:rFonts w:ascii="Times New Roman" w:hAnsi="Times New Roman" w:cs="Times New Roman"/>
        </w:rPr>
        <w:t xml:space="preserve">load </w:t>
      </w:r>
      <w:r w:rsidR="000A30A0">
        <w:rPr>
          <w:rFonts w:ascii="Times New Roman" w:hAnsi="Times New Roman" w:cs="Times New Roman"/>
        </w:rPr>
        <w:t xml:space="preserve">of </w:t>
      </w:r>
      <w:r w:rsidR="00180EC1">
        <w:rPr>
          <w:rFonts w:ascii="Times New Roman" w:hAnsi="Times New Roman" w:cs="Times New Roman"/>
        </w:rPr>
        <w:t>5</w:t>
      </w:r>
      <w:r w:rsidR="000A30A0">
        <w:rPr>
          <w:rFonts w:ascii="Times New Roman" w:hAnsi="Times New Roman" w:cs="Times New Roman"/>
        </w:rPr>
        <w:t xml:space="preserve">0 kW; is on between </w:t>
      </w:r>
      <w:proofErr w:type="gramStart"/>
      <w:r w:rsidR="000A30A0">
        <w:rPr>
          <w:rFonts w:ascii="Times New Roman" w:hAnsi="Times New Roman" w:cs="Times New Roman"/>
        </w:rPr>
        <w:t xml:space="preserve">3 and </w:t>
      </w:r>
      <w:r w:rsidR="00180EC1">
        <w:rPr>
          <w:rFonts w:ascii="Times New Roman" w:hAnsi="Times New Roman" w:cs="Times New Roman"/>
        </w:rPr>
        <w:t>4</w:t>
      </w:r>
      <w:r w:rsidR="000A30A0">
        <w:rPr>
          <w:rFonts w:ascii="Times New Roman" w:hAnsi="Times New Roman" w:cs="Times New Roman"/>
        </w:rPr>
        <w:t xml:space="preserve"> time</w:t>
      </w:r>
      <w:proofErr w:type="gramEnd"/>
      <w:r w:rsidR="000A30A0">
        <w:rPr>
          <w:rFonts w:ascii="Times New Roman" w:hAnsi="Times New Roman" w:cs="Times New Roman"/>
        </w:rPr>
        <w:t xml:space="preserve"> units, and is off between </w:t>
      </w:r>
      <w:proofErr w:type="gramStart"/>
      <w:r w:rsidR="00D1429A">
        <w:rPr>
          <w:rFonts w:ascii="Times New Roman" w:hAnsi="Times New Roman" w:cs="Times New Roman"/>
        </w:rPr>
        <w:t>2</w:t>
      </w:r>
      <w:r w:rsidR="00180EC1">
        <w:rPr>
          <w:rFonts w:ascii="Times New Roman" w:hAnsi="Times New Roman" w:cs="Times New Roman"/>
        </w:rPr>
        <w:t>7</w:t>
      </w:r>
      <w:r w:rsidR="000A30A0">
        <w:rPr>
          <w:rFonts w:ascii="Times New Roman" w:hAnsi="Times New Roman" w:cs="Times New Roman"/>
        </w:rPr>
        <w:t xml:space="preserve"> and </w:t>
      </w:r>
      <w:r w:rsidR="00180EC1">
        <w:rPr>
          <w:rFonts w:ascii="Times New Roman" w:hAnsi="Times New Roman" w:cs="Times New Roman"/>
        </w:rPr>
        <w:t>36</w:t>
      </w:r>
      <w:r w:rsidR="000A30A0">
        <w:rPr>
          <w:rFonts w:ascii="Times New Roman" w:hAnsi="Times New Roman" w:cs="Times New Roman"/>
        </w:rPr>
        <w:t xml:space="preserve"> time</w:t>
      </w:r>
      <w:proofErr w:type="gramEnd"/>
      <w:r w:rsidR="000A30A0">
        <w:rPr>
          <w:rFonts w:ascii="Times New Roman" w:hAnsi="Times New Roman" w:cs="Times New Roman"/>
        </w:rPr>
        <w:t xml:space="preserve"> units.  The on and off times are randomly selected within their limits.</w:t>
      </w:r>
    </w:p>
    <w:p w14:paraId="60189894" w14:textId="73D316DB" w:rsidR="00E652F3" w:rsidRDefault="00E652F3" w:rsidP="00E652F3">
      <w:pPr>
        <w:jc w:val="both"/>
        <w:rPr>
          <w:rFonts w:ascii="Times New Roman" w:hAnsi="Times New Roman" w:cs="Times New Roman"/>
        </w:rPr>
      </w:pPr>
      <w:r>
        <w:rPr>
          <w:rFonts w:ascii="Times New Roman" w:hAnsi="Times New Roman" w:cs="Times New Roman"/>
        </w:rPr>
        <w:t>Assuming the peak value</w:t>
      </w:r>
      <w:r w:rsidR="00180EC1">
        <w:rPr>
          <w:rFonts w:ascii="Times New Roman" w:hAnsi="Times New Roman" w:cs="Times New Roman"/>
        </w:rPr>
        <w:t xml:space="preserve"> of the cycling load</w:t>
      </w:r>
      <w:r>
        <w:rPr>
          <w:rFonts w:ascii="Times New Roman" w:hAnsi="Times New Roman" w:cs="Times New Roman"/>
        </w:rPr>
        <w:t xml:space="preserve"> is the connected load, the appropriate load factor for </w:t>
      </w:r>
      <w:r w:rsidR="00180EC1">
        <w:rPr>
          <w:rFonts w:ascii="Times New Roman" w:hAnsi="Times New Roman" w:cs="Times New Roman"/>
        </w:rPr>
        <w:t xml:space="preserve">its </w:t>
      </w:r>
      <w:r>
        <w:rPr>
          <w:rFonts w:ascii="Times New Roman" w:hAnsi="Times New Roman" w:cs="Times New Roman"/>
        </w:rPr>
        <w:t>24</w:t>
      </w:r>
      <w:r w:rsidR="00900FB2">
        <w:rPr>
          <w:rFonts w:ascii="Times New Roman" w:hAnsi="Times New Roman" w:cs="Times New Roman"/>
        </w:rPr>
        <w:t>-</w:t>
      </w:r>
      <w:r>
        <w:rPr>
          <w:rFonts w:ascii="Times New Roman" w:hAnsi="Times New Roman" w:cs="Times New Roman"/>
        </w:rPr>
        <w:t>hour average computations would be</w:t>
      </w:r>
      <w:r w:rsidR="0025295B">
        <w:rPr>
          <w:rFonts w:ascii="Times New Roman" w:hAnsi="Times New Roman" w:cs="Times New Roman"/>
        </w:rPr>
        <w:t xml:space="preserve"> </w:t>
      </w:r>
      <w:r>
        <w:rPr>
          <w:rFonts w:ascii="Times New Roman" w:hAnsi="Times New Roman" w:cs="Times New Roman"/>
        </w:rPr>
        <w:t xml:space="preserve">calculated </w:t>
      </w:r>
      <w:r w:rsidR="0025295B">
        <w:rPr>
          <w:rFonts w:ascii="Times New Roman" w:hAnsi="Times New Roman" w:cs="Times New Roman"/>
        </w:rPr>
        <w:t>by</w:t>
      </w:r>
      <w:r>
        <w:rPr>
          <w:rFonts w:ascii="Times New Roman" w:hAnsi="Times New Roman" w:cs="Times New Roman"/>
        </w:rPr>
        <w:t xml:space="preserve"> divid</w:t>
      </w:r>
      <w:r w:rsidR="0025295B">
        <w:rPr>
          <w:rFonts w:ascii="Times New Roman" w:hAnsi="Times New Roman" w:cs="Times New Roman"/>
        </w:rPr>
        <w:t>ing</w:t>
      </w:r>
      <w:r>
        <w:rPr>
          <w:rFonts w:ascii="Times New Roman" w:hAnsi="Times New Roman" w:cs="Times New Roman"/>
        </w:rPr>
        <w:t xml:space="preserve"> the waveforms average value by its connected load.  In </w:t>
      </w:r>
      <w:r>
        <w:rPr>
          <w:rFonts w:ascii="Times New Roman" w:hAnsi="Times New Roman" w:cs="Times New Roman"/>
        </w:rPr>
        <w:fldChar w:fldCharType="begin"/>
      </w:r>
      <w:r>
        <w:rPr>
          <w:rFonts w:ascii="Times New Roman" w:hAnsi="Times New Roman" w:cs="Times New Roman"/>
        </w:rPr>
        <w:instrText xml:space="preserve"> REF _Ref230343950 \h </w:instrText>
      </w:r>
      <w:r w:rsidR="0025295B">
        <w:rPr>
          <w:rFonts w:ascii="Times New Roman" w:hAnsi="Times New Roman" w:cs="Times New Roman"/>
        </w:rPr>
        <w:instrText xml:space="preserve"> \* MERGEFORMAT </w:instrText>
      </w:r>
      <w:r>
        <w:rPr>
          <w:rFonts w:ascii="Times New Roman" w:hAnsi="Times New Roman" w:cs="Times New Roman"/>
        </w:rPr>
      </w:r>
      <w:r>
        <w:rPr>
          <w:rFonts w:ascii="Times New Roman" w:hAnsi="Times New Roman" w:cs="Times New Roman"/>
        </w:rPr>
        <w:fldChar w:fldCharType="separate"/>
      </w:r>
      <w:r w:rsidRPr="0025295B">
        <w:rPr>
          <w:rFonts w:ascii="Times New Roman" w:hAnsi="Times New Roman" w:cs="Times New Roman"/>
        </w:rPr>
        <w:t>Figure 1</w:t>
      </w:r>
      <w:r>
        <w:rPr>
          <w:rFonts w:ascii="Times New Roman" w:hAnsi="Times New Roman" w:cs="Times New Roman"/>
        </w:rPr>
        <w:fldChar w:fldCharType="end"/>
      </w:r>
      <w:r>
        <w:rPr>
          <w:rFonts w:ascii="Times New Roman" w:hAnsi="Times New Roman" w:cs="Times New Roman"/>
        </w:rPr>
        <w:t xml:space="preserve">, the </w:t>
      </w:r>
      <w:r w:rsidR="00B47A11">
        <w:rPr>
          <w:rFonts w:ascii="Times New Roman" w:hAnsi="Times New Roman" w:cs="Times New Roman"/>
        </w:rPr>
        <w:t>average value</w:t>
      </w:r>
      <w:r>
        <w:rPr>
          <w:rFonts w:ascii="Times New Roman" w:hAnsi="Times New Roman" w:cs="Times New Roman"/>
        </w:rPr>
        <w:t xml:space="preserve"> of the </w:t>
      </w:r>
      <w:r w:rsidR="00180EC1">
        <w:rPr>
          <w:rFonts w:ascii="Times New Roman" w:hAnsi="Times New Roman" w:cs="Times New Roman"/>
        </w:rPr>
        <w:t xml:space="preserve">total combined </w:t>
      </w:r>
      <w:r>
        <w:rPr>
          <w:rFonts w:ascii="Times New Roman" w:hAnsi="Times New Roman" w:cs="Times New Roman"/>
        </w:rPr>
        <w:t xml:space="preserve">waveform is </w:t>
      </w:r>
      <w:r w:rsidR="00180EC1">
        <w:rPr>
          <w:rFonts w:ascii="Times New Roman" w:hAnsi="Times New Roman" w:cs="Times New Roman"/>
        </w:rPr>
        <w:t>95 kW</w:t>
      </w:r>
      <w:r>
        <w:rPr>
          <w:rFonts w:ascii="Times New Roman" w:hAnsi="Times New Roman" w:cs="Times New Roman"/>
        </w:rPr>
        <w:t xml:space="preserve"> </w:t>
      </w:r>
      <w:r w:rsidR="00180EC1">
        <w:rPr>
          <w:rFonts w:ascii="Times New Roman" w:hAnsi="Times New Roman" w:cs="Times New Roman"/>
        </w:rPr>
        <w:t>with the cycling load contributing 5 kW</w:t>
      </w:r>
      <w:r>
        <w:rPr>
          <w:rFonts w:ascii="Times New Roman" w:hAnsi="Times New Roman" w:cs="Times New Roman"/>
        </w:rPr>
        <w:t xml:space="preserve">.  </w:t>
      </w:r>
      <w:r w:rsidR="00180EC1">
        <w:rPr>
          <w:rFonts w:ascii="Times New Roman" w:hAnsi="Times New Roman" w:cs="Times New Roman"/>
        </w:rPr>
        <w:t xml:space="preserve">Since the cycling load has a connected load of 50 kW, </w:t>
      </w:r>
      <w:r w:rsidR="00D1429A">
        <w:rPr>
          <w:rFonts w:ascii="Times New Roman" w:hAnsi="Times New Roman" w:cs="Times New Roman"/>
        </w:rPr>
        <w:t>t</w:t>
      </w:r>
      <w:r>
        <w:rPr>
          <w:rFonts w:ascii="Times New Roman" w:hAnsi="Times New Roman" w:cs="Times New Roman"/>
        </w:rPr>
        <w:t xml:space="preserve">he load factor </w:t>
      </w:r>
      <w:r w:rsidR="00180EC1">
        <w:rPr>
          <w:rFonts w:ascii="Times New Roman" w:hAnsi="Times New Roman" w:cs="Times New Roman"/>
        </w:rPr>
        <w:t xml:space="preserve">for 24-hour average computations </w:t>
      </w:r>
      <w:r>
        <w:rPr>
          <w:rFonts w:ascii="Times New Roman" w:hAnsi="Times New Roman" w:cs="Times New Roman"/>
        </w:rPr>
        <w:t xml:space="preserve">is therefore </w:t>
      </w:r>
      <w:r w:rsidR="0025295B">
        <w:rPr>
          <w:rFonts w:ascii="Times New Roman" w:hAnsi="Times New Roman" w:cs="Times New Roman"/>
        </w:rPr>
        <w:t>0.</w:t>
      </w:r>
      <w:r w:rsidR="00180EC1">
        <w:rPr>
          <w:rFonts w:ascii="Times New Roman" w:hAnsi="Times New Roman" w:cs="Times New Roman"/>
        </w:rPr>
        <w:t>10</w:t>
      </w:r>
      <w:r>
        <w:rPr>
          <w:rFonts w:ascii="Times New Roman" w:hAnsi="Times New Roman" w:cs="Times New Roman"/>
        </w:rPr>
        <w:t>.</w:t>
      </w:r>
    </w:p>
    <w:p w14:paraId="5EAEA990" w14:textId="3E36A8F3" w:rsidR="00180EC1" w:rsidRDefault="00180EC1" w:rsidP="00E652F3">
      <w:pPr>
        <w:jc w:val="both"/>
        <w:rPr>
          <w:rFonts w:ascii="Times New Roman" w:hAnsi="Times New Roman" w:cs="Times New Roman"/>
        </w:rPr>
      </w:pPr>
      <w:r>
        <w:rPr>
          <w:rFonts w:ascii="Times New Roman" w:hAnsi="Times New Roman" w:cs="Times New Roman"/>
        </w:rPr>
        <w:t>The peak value of the combined load is 140 kW; if the average value of 95 kW is used to determine the required rating of the power system equipment, the power system equipment may be overloaded and not operate as expected in service.</w:t>
      </w:r>
    </w:p>
    <w:p w14:paraId="124F0BAD" w14:textId="554E45CC" w:rsidR="000A30A0" w:rsidRDefault="00FC5DB5" w:rsidP="00E652F3">
      <w:pPr>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REF _Ref230348732 \h </w:instrText>
      </w:r>
      <w:r w:rsidR="00CC2DF9">
        <w:rPr>
          <w:rFonts w:ascii="Times New Roman" w:hAnsi="Times New Roman" w:cs="Times New Roman"/>
        </w:rPr>
        <w:instrText xml:space="preserve"> \* MERGEFORMAT </w:instrText>
      </w:r>
      <w:r>
        <w:rPr>
          <w:rFonts w:ascii="Times New Roman" w:hAnsi="Times New Roman" w:cs="Times New Roman"/>
        </w:rPr>
      </w:r>
      <w:r>
        <w:rPr>
          <w:rFonts w:ascii="Times New Roman" w:hAnsi="Times New Roman" w:cs="Times New Roman"/>
        </w:rPr>
        <w:fldChar w:fldCharType="separate"/>
      </w:r>
      <w:r w:rsidRPr="00CC2DF9">
        <w:rPr>
          <w:rFonts w:ascii="Times New Roman" w:hAnsi="Times New Roman" w:cs="Times New Roman"/>
        </w:rPr>
        <w:t>Figure 2</w:t>
      </w:r>
      <w:r>
        <w:rPr>
          <w:rFonts w:ascii="Times New Roman" w:hAnsi="Times New Roman" w:cs="Times New Roman"/>
        </w:rPr>
        <w:fldChar w:fldCharType="end"/>
      </w:r>
      <w:r>
        <w:rPr>
          <w:rFonts w:ascii="Times New Roman" w:hAnsi="Times New Roman" w:cs="Times New Roman"/>
        </w:rPr>
        <w:t xml:space="preserve"> depicts the combined power waveform of </w:t>
      </w:r>
      <w:r w:rsidR="00434098">
        <w:rPr>
          <w:rFonts w:ascii="Times New Roman" w:hAnsi="Times New Roman" w:cs="Times New Roman"/>
        </w:rPr>
        <w:t xml:space="preserve">8 constant power loads (10 kW each) and two cycling loads as in </w:t>
      </w:r>
      <w:r w:rsidR="00434098">
        <w:rPr>
          <w:rFonts w:ascii="Times New Roman" w:hAnsi="Times New Roman" w:cs="Times New Roman"/>
        </w:rPr>
        <w:fldChar w:fldCharType="begin"/>
      </w:r>
      <w:r w:rsidR="00434098">
        <w:rPr>
          <w:rFonts w:ascii="Times New Roman" w:hAnsi="Times New Roman" w:cs="Times New Roman"/>
        </w:rPr>
        <w:instrText xml:space="preserve"> REF _Ref230343950 \h  \* MERGEFORMAT </w:instrText>
      </w:r>
      <w:r w:rsidR="00434098">
        <w:rPr>
          <w:rFonts w:ascii="Times New Roman" w:hAnsi="Times New Roman" w:cs="Times New Roman"/>
        </w:rPr>
      </w:r>
      <w:r w:rsidR="00434098">
        <w:rPr>
          <w:rFonts w:ascii="Times New Roman" w:hAnsi="Times New Roman" w:cs="Times New Roman"/>
        </w:rPr>
        <w:fldChar w:fldCharType="separate"/>
      </w:r>
      <w:r w:rsidR="00434098" w:rsidRPr="00434098">
        <w:rPr>
          <w:rFonts w:ascii="Times New Roman" w:hAnsi="Times New Roman" w:cs="Times New Roman"/>
        </w:rPr>
        <w:t>Figure 1</w:t>
      </w:r>
      <w:r w:rsidR="00434098">
        <w:rPr>
          <w:rFonts w:ascii="Times New Roman" w:hAnsi="Times New Roman" w:cs="Times New Roman"/>
        </w:rPr>
        <w:fldChar w:fldCharType="end"/>
      </w:r>
      <w:r>
        <w:rPr>
          <w:rFonts w:ascii="Times New Roman" w:hAnsi="Times New Roman" w:cs="Times New Roman"/>
        </w:rPr>
        <w:t xml:space="preserve">.  </w:t>
      </w:r>
      <w:r w:rsidR="00434098">
        <w:rPr>
          <w:rFonts w:ascii="Times New Roman" w:hAnsi="Times New Roman" w:cs="Times New Roman"/>
        </w:rPr>
        <w:t>The average load is 90 kW</w:t>
      </w:r>
      <w:r w:rsidR="00D1429A">
        <w:rPr>
          <w:rFonts w:ascii="Times New Roman" w:hAnsi="Times New Roman" w:cs="Times New Roman"/>
        </w:rPr>
        <w:t xml:space="preserve"> with each of the cycling loads contributing 5 kw.  The cycling loads each have a load factor for 24-hour average computations of 0.10.  The peak value of the combined load is 180 kW; the duration of this peak value is likely to be less than the average on time of each of the cycling loads.</w:t>
      </w:r>
    </w:p>
    <w:p w14:paraId="6C7200B4" w14:textId="1F321A07" w:rsidR="004307BB" w:rsidRDefault="004307BB" w:rsidP="00E652F3">
      <w:pPr>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REF _Ref230681728 \h </w:instrText>
      </w:r>
      <w:r>
        <w:rPr>
          <w:rFonts w:ascii="Times New Roman" w:hAnsi="Times New Roman" w:cs="Times New Roman"/>
        </w:rPr>
      </w:r>
      <w:r>
        <w:rPr>
          <w:rFonts w:ascii="Times New Roman" w:hAnsi="Times New Roman" w:cs="Times New Roman"/>
        </w:rPr>
        <w:instrText xml:space="preserve"> \* MERGEFORMAT </w:instrText>
      </w:r>
      <w:r>
        <w:rPr>
          <w:rFonts w:ascii="Times New Roman" w:hAnsi="Times New Roman" w:cs="Times New Roman"/>
        </w:rPr>
        <w:fldChar w:fldCharType="separate"/>
      </w:r>
      <w:r w:rsidRPr="004307BB">
        <w:rPr>
          <w:rFonts w:ascii="Times New Roman" w:hAnsi="Times New Roman" w:cs="Times New Roman"/>
        </w:rPr>
        <w:t xml:space="preserve">Figure </w:t>
      </w:r>
      <w:r w:rsidRPr="004307BB">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depicts the combined power waveform of 7 constant power loads (10 kW each) and three cycling loads as in </w:t>
      </w:r>
      <w:r>
        <w:rPr>
          <w:rFonts w:ascii="Times New Roman" w:hAnsi="Times New Roman" w:cs="Times New Roman"/>
        </w:rPr>
        <w:fldChar w:fldCharType="begin"/>
      </w:r>
      <w:r>
        <w:rPr>
          <w:rFonts w:ascii="Times New Roman" w:hAnsi="Times New Roman" w:cs="Times New Roman"/>
        </w:rPr>
        <w:instrText xml:space="preserve"> REF _Ref230343950 \h  \* MERGEFORMAT </w:instrText>
      </w:r>
      <w:r>
        <w:rPr>
          <w:rFonts w:ascii="Times New Roman" w:hAnsi="Times New Roman" w:cs="Times New Roman"/>
        </w:rPr>
      </w:r>
      <w:r>
        <w:rPr>
          <w:rFonts w:ascii="Times New Roman" w:hAnsi="Times New Roman" w:cs="Times New Roman"/>
        </w:rPr>
        <w:fldChar w:fldCharType="separate"/>
      </w:r>
      <w:r w:rsidRPr="00434098">
        <w:rPr>
          <w:rFonts w:ascii="Times New Roman" w:hAnsi="Times New Roman" w:cs="Times New Roman"/>
        </w:rPr>
        <w:t>Figure 1</w:t>
      </w:r>
      <w:r>
        <w:rPr>
          <w:rFonts w:ascii="Times New Roman" w:hAnsi="Times New Roman" w:cs="Times New Roman"/>
        </w:rPr>
        <w:fldChar w:fldCharType="end"/>
      </w:r>
      <w:r>
        <w:rPr>
          <w:rFonts w:ascii="Times New Roman" w:hAnsi="Times New Roman" w:cs="Times New Roman"/>
        </w:rPr>
        <w:t xml:space="preserve">.  The average load is 85 kW with each of the cycling loads contributing 5 kW.  </w:t>
      </w:r>
      <w:r>
        <w:rPr>
          <w:rFonts w:ascii="Times New Roman" w:hAnsi="Times New Roman" w:cs="Times New Roman"/>
        </w:rPr>
        <w:t xml:space="preserve">The cycling loads each have a load factor for 24-hour average computations of 0.10.  </w:t>
      </w:r>
      <w:r>
        <w:rPr>
          <w:rFonts w:ascii="Times New Roman" w:hAnsi="Times New Roman" w:cs="Times New Roman"/>
        </w:rPr>
        <w:t xml:space="preserve">For </w:t>
      </w:r>
      <w:r>
        <w:rPr>
          <w:rFonts w:ascii="Times New Roman" w:hAnsi="Times New Roman" w:cs="Times New Roman"/>
        </w:rPr>
        <w:lastRenderedPageBreak/>
        <w:t xml:space="preserve">this waveform the peak value of the combined load is 170 kW.  While it is possible to have a peak value of 220 kW, this will seldom occur; if does occur, it will likely have a short duration. </w:t>
      </w:r>
    </w:p>
    <w:p w14:paraId="070D2173" w14:textId="2B1DE182" w:rsidR="00E652F3" w:rsidRDefault="00180EC1" w:rsidP="00E652F3">
      <w:pPr>
        <w:jc w:val="center"/>
        <w:rPr>
          <w:rFonts w:ascii="Times New Roman" w:hAnsi="Times New Roman" w:cs="Times New Roman"/>
        </w:rPr>
      </w:pPr>
      <w:r>
        <w:rPr>
          <w:rFonts w:ascii="Times New Roman" w:hAnsi="Times New Roman" w:cs="Times New Roman"/>
          <w:noProof/>
        </w:rPr>
        <w:drawing>
          <wp:inline distT="0" distB="0" distL="0" distR="0" wp14:anchorId="1079A4B5" wp14:editId="7FB47D16">
            <wp:extent cx="2743200" cy="1647594"/>
            <wp:effectExtent l="0" t="0" r="0" b="0"/>
            <wp:docPr id="2224072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647594"/>
                    </a:xfrm>
                    <a:prstGeom prst="rect">
                      <a:avLst/>
                    </a:prstGeom>
                    <a:noFill/>
                    <a:ln>
                      <a:noFill/>
                    </a:ln>
                  </pic:spPr>
                </pic:pic>
              </a:graphicData>
            </a:graphic>
          </wp:inline>
        </w:drawing>
      </w:r>
    </w:p>
    <w:p w14:paraId="561B3F0B" w14:textId="43303B6E" w:rsidR="00E652F3" w:rsidRDefault="00E652F3" w:rsidP="00E652F3">
      <w:pPr>
        <w:pStyle w:val="Caption"/>
      </w:pPr>
      <w:bookmarkStart w:id="0" w:name="_Ref230343950"/>
      <w:r>
        <w:t xml:space="preserve">Figure </w:t>
      </w:r>
      <w:fldSimple w:instr=" SEQ Figure \* ARABIC ">
        <w:r w:rsidR="00022BF9">
          <w:rPr>
            <w:noProof/>
          </w:rPr>
          <w:t>1</w:t>
        </w:r>
      </w:fldSimple>
      <w:bookmarkEnd w:id="0"/>
      <w:r>
        <w:t xml:space="preserve">: Cycling </w:t>
      </w:r>
      <w:r w:rsidR="00180EC1">
        <w:t>l</w:t>
      </w:r>
      <w:r>
        <w:t>oad</w:t>
      </w:r>
      <w:r w:rsidR="00180EC1">
        <w:t xml:space="preserve"> with nine constant power loads</w:t>
      </w:r>
    </w:p>
    <w:p w14:paraId="493FFBCB" w14:textId="21D70B6E" w:rsidR="00E652F3" w:rsidRDefault="00180EC1" w:rsidP="000A30A0">
      <w:pPr>
        <w:jc w:val="center"/>
      </w:pPr>
      <w:r>
        <w:rPr>
          <w:noProof/>
        </w:rPr>
        <w:drawing>
          <wp:inline distT="0" distB="0" distL="0" distR="0" wp14:anchorId="1366A819" wp14:editId="37AA7854">
            <wp:extent cx="2743200" cy="1647594"/>
            <wp:effectExtent l="0" t="0" r="0" b="0"/>
            <wp:docPr id="1177242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647594"/>
                    </a:xfrm>
                    <a:prstGeom prst="rect">
                      <a:avLst/>
                    </a:prstGeom>
                    <a:noFill/>
                    <a:ln>
                      <a:noFill/>
                    </a:ln>
                  </pic:spPr>
                </pic:pic>
              </a:graphicData>
            </a:graphic>
          </wp:inline>
        </w:drawing>
      </w:r>
    </w:p>
    <w:p w14:paraId="5F11C133" w14:textId="0E12FA3D" w:rsidR="000A30A0" w:rsidRDefault="000A30A0" w:rsidP="000A30A0">
      <w:pPr>
        <w:pStyle w:val="Caption"/>
      </w:pPr>
      <w:bookmarkStart w:id="1" w:name="_Ref230348732"/>
      <w:bookmarkStart w:id="2" w:name="_Ref230614972"/>
      <w:r>
        <w:t xml:space="preserve">Figure </w:t>
      </w:r>
      <w:fldSimple w:instr=" SEQ Figure \* ARABIC ">
        <w:r w:rsidR="00022BF9">
          <w:rPr>
            <w:noProof/>
          </w:rPr>
          <w:t>2</w:t>
        </w:r>
      </w:fldSimple>
      <w:bookmarkEnd w:id="1"/>
      <w:r>
        <w:t xml:space="preserve">: </w:t>
      </w:r>
      <w:r w:rsidR="00180EC1">
        <w:t>Two cycling loads with eight constant power loads</w:t>
      </w:r>
      <w:bookmarkEnd w:id="2"/>
    </w:p>
    <w:p w14:paraId="0788C647" w14:textId="7599E5FD" w:rsidR="004307BB" w:rsidRDefault="004307BB" w:rsidP="004307BB">
      <w:pPr>
        <w:jc w:val="center"/>
      </w:pPr>
      <w:r>
        <w:rPr>
          <w:noProof/>
        </w:rPr>
        <w:drawing>
          <wp:inline distT="0" distB="0" distL="0" distR="0" wp14:anchorId="4211C9BB" wp14:editId="57801852">
            <wp:extent cx="2743200" cy="1647594"/>
            <wp:effectExtent l="0" t="0" r="0" b="0"/>
            <wp:docPr id="735949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647594"/>
                    </a:xfrm>
                    <a:prstGeom prst="rect">
                      <a:avLst/>
                    </a:prstGeom>
                    <a:noFill/>
                    <a:ln>
                      <a:noFill/>
                    </a:ln>
                  </pic:spPr>
                </pic:pic>
              </a:graphicData>
            </a:graphic>
          </wp:inline>
        </w:drawing>
      </w:r>
    </w:p>
    <w:p w14:paraId="11FB78AE" w14:textId="208F6767" w:rsidR="004307BB" w:rsidRDefault="004307BB" w:rsidP="004307BB">
      <w:pPr>
        <w:pStyle w:val="Caption"/>
      </w:pPr>
      <w:bookmarkStart w:id="3" w:name="_Ref230681728"/>
      <w:r>
        <w:t xml:space="preserve">Figure </w:t>
      </w:r>
      <w:r>
        <w:fldChar w:fldCharType="begin"/>
      </w:r>
      <w:r>
        <w:instrText xml:space="preserve"> SEQ Figure \* ARABIC </w:instrText>
      </w:r>
      <w:r>
        <w:fldChar w:fldCharType="separate"/>
      </w:r>
      <w:r>
        <w:rPr>
          <w:noProof/>
        </w:rPr>
        <w:t>3</w:t>
      </w:r>
      <w:r>
        <w:rPr>
          <w:noProof/>
        </w:rPr>
        <w:fldChar w:fldCharType="end"/>
      </w:r>
      <w:bookmarkEnd w:id="3"/>
      <w:r>
        <w:t xml:space="preserve">: </w:t>
      </w:r>
      <w:r>
        <w:t>Three</w:t>
      </w:r>
      <w:r>
        <w:t xml:space="preserve"> cycling loads with </w:t>
      </w:r>
      <w:r>
        <w:t>seven</w:t>
      </w:r>
      <w:r>
        <w:t xml:space="preserve"> constant power loads</w:t>
      </w:r>
    </w:p>
    <w:p w14:paraId="4370F08C" w14:textId="318FEAB1" w:rsidR="0025295B" w:rsidRPr="00CC2DF9" w:rsidRDefault="00D1429A" w:rsidP="00CC2DF9">
      <w:pPr>
        <w:jc w:val="both"/>
        <w:rPr>
          <w:rFonts w:ascii="Times New Roman" w:hAnsi="Times New Roman" w:cs="Times New Roman"/>
        </w:rPr>
      </w:pPr>
      <w:r>
        <w:rPr>
          <w:rFonts w:ascii="Times New Roman" w:hAnsi="Times New Roman" w:cs="Times New Roman"/>
        </w:rPr>
        <w:t>It should be clear that when the total load has a significant contribution from cycling loads, the average value is likely too small to be used to determine the rating of power system equipment.</w:t>
      </w:r>
    </w:p>
    <w:p w14:paraId="36C078E8" w14:textId="4192E957" w:rsidR="00BD31DD" w:rsidRDefault="007E5FBC" w:rsidP="008A1DF5">
      <w:pPr>
        <w:pStyle w:val="ListParagraph"/>
        <w:numPr>
          <w:ilvl w:val="0"/>
          <w:numId w:val="1"/>
        </w:numPr>
        <w:contextualSpacing w:val="0"/>
        <w:rPr>
          <w:rFonts w:ascii="Times New Roman" w:hAnsi="Times New Roman" w:cs="Times New Roman"/>
        </w:rPr>
      </w:pPr>
      <w:r>
        <w:rPr>
          <w:rFonts w:ascii="Times New Roman" w:hAnsi="Times New Roman" w:cs="Times New Roman"/>
        </w:rPr>
        <w:t>Calculating Zonal</w:t>
      </w:r>
      <w:r w:rsidR="00361AFA">
        <w:rPr>
          <w:rFonts w:ascii="Times New Roman" w:hAnsi="Times New Roman" w:cs="Times New Roman"/>
        </w:rPr>
        <w:t xml:space="preserve"> Load Factors</w:t>
      </w:r>
    </w:p>
    <w:p w14:paraId="47EF2FAE" w14:textId="5A0ED8E2" w:rsidR="00D1429A" w:rsidRPr="00D1429A" w:rsidRDefault="00900FB2" w:rsidP="00900FB2">
      <w:pPr>
        <w:jc w:val="both"/>
        <w:rPr>
          <w:rFonts w:ascii="Times New Roman" w:hAnsi="Times New Roman" w:cs="Times New Roman"/>
        </w:rPr>
      </w:pPr>
      <w:r>
        <w:rPr>
          <w:rFonts w:ascii="Times New Roman" w:hAnsi="Times New Roman" w:cs="Times New Roman"/>
        </w:rPr>
        <w:t xml:space="preserve">The zonal load factor method’s goal is to determine a reasonable value to use for sizing power system equipment.  When cycling loads are present, it produces a higher load than when using the </w:t>
      </w:r>
      <w:r>
        <w:rPr>
          <w:rFonts w:ascii="Times New Roman" w:hAnsi="Times New Roman" w:cs="Times New Roman"/>
        </w:rPr>
        <w:lastRenderedPageBreak/>
        <w:t xml:space="preserve">24-hour average-based load factors.  </w:t>
      </w:r>
      <w:r w:rsidR="00D1429A">
        <w:rPr>
          <w:rFonts w:ascii="Times New Roman" w:hAnsi="Times New Roman" w:cs="Times New Roman"/>
        </w:rPr>
        <w:t>The zonal load factor is calculated using the following equation from DPC 310-1</w:t>
      </w:r>
      <w:r w:rsidR="004307BB">
        <w:rPr>
          <w:rFonts w:ascii="Times New Roman" w:hAnsi="Times New Roman" w:cs="Times New Roman"/>
        </w:rPr>
        <w:t xml:space="preserve"> which is depicted graphically in </w:t>
      </w:r>
      <w:r w:rsidR="004307BB">
        <w:rPr>
          <w:rFonts w:ascii="Times New Roman" w:hAnsi="Times New Roman" w:cs="Times New Roman"/>
        </w:rPr>
        <w:fldChar w:fldCharType="begin"/>
      </w:r>
      <w:r w:rsidR="004307BB">
        <w:rPr>
          <w:rFonts w:ascii="Times New Roman" w:hAnsi="Times New Roman" w:cs="Times New Roman"/>
        </w:rPr>
        <w:instrText xml:space="preserve"> REF _Ref230682055 \h </w:instrText>
      </w:r>
      <w:r w:rsidR="004307BB">
        <w:rPr>
          <w:rFonts w:ascii="Times New Roman" w:hAnsi="Times New Roman" w:cs="Times New Roman"/>
        </w:rPr>
      </w:r>
      <w:r w:rsidR="004307BB">
        <w:rPr>
          <w:rFonts w:ascii="Times New Roman" w:hAnsi="Times New Roman" w:cs="Times New Roman"/>
        </w:rPr>
        <w:instrText xml:space="preserve"> \* MERGEFORMAT </w:instrText>
      </w:r>
      <w:r w:rsidR="004307BB">
        <w:rPr>
          <w:rFonts w:ascii="Times New Roman" w:hAnsi="Times New Roman" w:cs="Times New Roman"/>
        </w:rPr>
        <w:fldChar w:fldCharType="separate"/>
      </w:r>
      <w:r w:rsidR="004307BB" w:rsidRPr="004307BB">
        <w:rPr>
          <w:rFonts w:ascii="Times New Roman" w:hAnsi="Times New Roman" w:cs="Times New Roman"/>
        </w:rPr>
        <w:t>Figure 4</w:t>
      </w:r>
      <w:r w:rsidR="004307BB">
        <w:rPr>
          <w:rFonts w:ascii="Times New Roman" w:hAnsi="Times New Roman" w:cs="Times New Roman"/>
        </w:rPr>
        <w:fldChar w:fldCharType="end"/>
      </w:r>
      <w:r w:rsidR="00D1429A">
        <w:rPr>
          <w:rFonts w:ascii="Times New Roman" w:hAnsi="Times New Roman" w:cs="Times New Roman"/>
        </w:rPr>
        <w:t>:</w:t>
      </w:r>
    </w:p>
    <w:p w14:paraId="43468354" w14:textId="41813FD5" w:rsidR="009770A7" w:rsidRDefault="0005375F" w:rsidP="00022BF9">
      <w:pPr>
        <w:ind w:left="720" w:right="36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f</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j</m:t>
                  </m:r>
                </m:sub>
              </m:sSub>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sub>
                      </m:sSub>
                    </m:sub>
                  </m:sSub>
                </m:num>
                <m:den>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j</m:t>
                          </m:r>
                        </m:sub>
                      </m:sSub>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j</m:t>
                      </m:r>
                    </m:sub>
                  </m:sSub>
                </m:sub>
              </m:sSub>
            </m:e>
          </m:d>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sub>
                      </m:sSub>
                    </m:sub>
                  </m:sSub>
                </m:num>
                <m:den>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L</m:t>
                          </m:r>
                        </m:e>
                        <m:sub>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m:t>
                              </m:r>
                            </m:sub>
                          </m:sSub>
                        </m:sub>
                      </m:sSub>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sub>
                      </m:sSub>
                    </m:e>
                  </m:nary>
                </m:den>
              </m:f>
            </m:e>
          </m:d>
          <m:r>
            <w:rPr>
              <w:rFonts w:ascii="Cambria Math" w:hAnsi="Cambria Math" w:cs="Times New Roman"/>
            </w:rPr>
            <m:t xml:space="preserve"> </m:t>
          </m:r>
          <m:r>
            <m:rPr>
              <m:nor/>
            </m:rPr>
            <w:rPr>
              <w:rFonts w:ascii="Cambria Math" w:hAnsi="Cambria Math" w:cs="Times New Roman"/>
            </w:rPr>
            <m:t>for</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sub>
                  </m:sSub>
                </m:sub>
              </m:sSub>
            </m:num>
            <m:den>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L</m:t>
                      </m:r>
                    </m:e>
                    <m:sub>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m:t>
                          </m:r>
                        </m:sub>
                      </m:sSub>
                    </m:sub>
                  </m:sSub>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sub>
                  </m:sSub>
                </m:e>
              </m:nary>
            </m:den>
          </m:f>
          <m:r>
            <w:rPr>
              <w:rFonts w:ascii="Cambria Math" w:hAnsi="Cambria Math" w:cs="Times New Roman"/>
            </w:rPr>
            <m:t>&lt;1.0</m:t>
          </m:r>
        </m:oMath>
      </m:oMathPara>
    </w:p>
    <w:p w14:paraId="2BF5C350" w14:textId="28A20D69" w:rsidR="009770A7" w:rsidRDefault="0005375F" w:rsidP="009770A7">
      <w:pPr>
        <w:ind w:left="720" w:right="36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f</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sub>
                  </m:sSub>
                </m:sub>
              </m:sSub>
            </m:num>
            <m:den>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j</m:t>
                      </m:r>
                    </m:sub>
                  </m:sSub>
                </m:sub>
              </m:sSub>
            </m:den>
          </m:f>
          <m:r>
            <w:rPr>
              <w:rFonts w:ascii="Cambria Math" w:hAnsi="Cambria Math" w:cs="Times New Roman"/>
            </w:rPr>
            <m:t xml:space="preserve"> </m:t>
          </m:r>
          <m:r>
            <m:rPr>
              <m:nor/>
            </m:rPr>
            <w:rPr>
              <w:rFonts w:ascii="Cambria Math" w:hAnsi="Cambria Math" w:cs="Times New Roman"/>
            </w:rPr>
            <m:t>for</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sub>
                  </m:sSub>
                </m:sub>
              </m:sSub>
            </m:num>
            <m:den>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L</m:t>
                      </m:r>
                    </m:e>
                    <m:sub>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m:t>
                          </m:r>
                        </m:sub>
                      </m:sSub>
                    </m:sub>
                  </m:sSub>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sub>
                  </m:sSub>
                </m:e>
              </m:nary>
            </m:den>
          </m:f>
          <m:r>
            <w:rPr>
              <w:rFonts w:ascii="Cambria Math" w:hAnsi="Cambria Math" w:cs="Times New Roman"/>
            </w:rPr>
            <m:t>≥1.0</m:t>
          </m:r>
        </m:oMath>
      </m:oMathPara>
    </w:p>
    <w:p w14:paraId="16EFEE61" w14:textId="468DD183" w:rsidR="009770A7" w:rsidRDefault="00BA7C4F" w:rsidP="00022BF9">
      <w:pPr>
        <w:ind w:left="720" w:right="360"/>
        <w:rPr>
          <w:rFonts w:ascii="Times New Roman" w:hAnsi="Times New Roman" w:cs="Times New Roman"/>
        </w:rPr>
      </w:pPr>
      <w:proofErr w:type="gramStart"/>
      <w:r>
        <w:rPr>
          <w:rFonts w:ascii="Times New Roman" w:hAnsi="Times New Roman" w:cs="Times New Roman"/>
        </w:rPr>
        <w:t>Where</w:t>
      </w:r>
      <w:proofErr w:type="gramEnd"/>
    </w:p>
    <w:p w14:paraId="4948379E" w14:textId="63045CD5" w:rsidR="00BA7C4F" w:rsidRDefault="0005375F" w:rsidP="00EF194B">
      <w:pPr>
        <w:ind w:left="1080" w:right="360"/>
        <w:rPr>
          <w:rFonts w:ascii="Times New Roman" w:eastAsiaTheme="minorEastAsia" w:hAnsi="Times New Roman" w:cs="Times New Roman"/>
          <w:i/>
          <w:iCs/>
        </w:rPr>
      </w:pP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f</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sub>
        </m:sSub>
      </m:oMath>
      <w:r w:rsidR="00BA7C4F">
        <w:rPr>
          <w:rFonts w:ascii="Times New Roman" w:eastAsiaTheme="minorEastAsia" w:hAnsi="Times New Roman" w:cs="Times New Roman"/>
        </w:rPr>
        <w:t xml:space="preserve"> = Zonal load factor for load </w:t>
      </w:r>
      <w:r w:rsidR="00BA7C4F">
        <w:rPr>
          <w:rFonts w:ascii="Times New Roman" w:eastAsiaTheme="minorEastAsia" w:hAnsi="Times New Roman" w:cs="Times New Roman"/>
          <w:i/>
          <w:iCs/>
        </w:rPr>
        <w:t>j</w:t>
      </w:r>
    </w:p>
    <w:p w14:paraId="374919ED" w14:textId="04723A53" w:rsidR="009770A7" w:rsidRDefault="0005375F" w:rsidP="00EF194B">
      <w:pPr>
        <w:ind w:left="1080" w:right="360"/>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L</m:t>
            </m:r>
          </m:e>
          <m:sub>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j</m:t>
                </m:r>
              </m:sub>
            </m:sSub>
          </m:sub>
        </m:sSub>
      </m:oMath>
      <w:r w:rsidR="00BA7C4F">
        <w:rPr>
          <w:rFonts w:ascii="Times New Roman" w:eastAsiaTheme="minorEastAsia" w:hAnsi="Times New Roman" w:cs="Times New Roman"/>
        </w:rPr>
        <w:t xml:space="preserve"> = Load factor for load </w:t>
      </w:r>
      <w:r w:rsidR="00BA7C4F">
        <w:rPr>
          <w:rFonts w:ascii="Times New Roman" w:eastAsiaTheme="minorEastAsia" w:hAnsi="Times New Roman" w:cs="Times New Roman"/>
          <w:i/>
          <w:iCs/>
        </w:rPr>
        <w:t>j</w:t>
      </w:r>
      <w:r w:rsidR="00BA7C4F">
        <w:rPr>
          <w:rFonts w:ascii="Times New Roman" w:eastAsiaTheme="minorEastAsia" w:hAnsi="Times New Roman" w:cs="Times New Roman"/>
        </w:rPr>
        <w:t xml:space="preserve"> for 24-hour average calculations</w:t>
      </w:r>
    </w:p>
    <w:p w14:paraId="47C36A1B" w14:textId="5BFD0AF8" w:rsidR="00BA7C4F" w:rsidRDefault="0005375F" w:rsidP="00EF194B">
      <w:pPr>
        <w:ind w:left="1080" w:right="360"/>
        <w:rPr>
          <w:rFonts w:ascii="Times New Roman" w:eastAsiaTheme="minorEastAsia" w:hAnsi="Times New Roman" w:cs="Times New Roman"/>
          <w:i/>
          <w:iCs/>
        </w:rPr>
      </w:pPr>
      <m:oMath>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j</m:t>
                </m:r>
              </m:sub>
            </m:sSub>
          </m:sub>
        </m:sSub>
      </m:oMath>
      <w:r w:rsidR="00BA7C4F">
        <w:rPr>
          <w:rFonts w:ascii="Times New Roman" w:eastAsiaTheme="minorEastAsia" w:hAnsi="Times New Roman" w:cs="Times New Roman"/>
        </w:rPr>
        <w:t xml:space="preserve"> = Connected Load (kW) for load </w:t>
      </w:r>
      <w:r w:rsidR="00BA7C4F">
        <w:rPr>
          <w:rFonts w:ascii="Times New Roman" w:eastAsiaTheme="minorEastAsia" w:hAnsi="Times New Roman" w:cs="Times New Roman"/>
          <w:i/>
          <w:iCs/>
        </w:rPr>
        <w:t>j</w:t>
      </w:r>
    </w:p>
    <w:p w14:paraId="65BD806E" w14:textId="74C19D19" w:rsidR="00BA7C4F" w:rsidRPr="00BA7C4F" w:rsidRDefault="0005375F" w:rsidP="00EF194B">
      <w:pPr>
        <w:ind w:left="1080" w:right="360"/>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sub>
            </m:sSub>
          </m:sub>
        </m:sSub>
      </m:oMath>
      <w:r w:rsidR="00BA7C4F">
        <w:rPr>
          <w:rFonts w:ascii="Times New Roman" w:eastAsiaTheme="minorEastAsia" w:hAnsi="Times New Roman" w:cs="Times New Roman"/>
        </w:rPr>
        <w:t xml:space="preserve"> = Peak Load (kW) for load </w:t>
      </w:r>
      <w:r w:rsidR="00BA7C4F">
        <w:rPr>
          <w:rFonts w:ascii="Times New Roman" w:eastAsiaTheme="minorEastAsia" w:hAnsi="Times New Roman" w:cs="Times New Roman"/>
          <w:i/>
          <w:iCs/>
        </w:rPr>
        <w:t>j</w:t>
      </w:r>
    </w:p>
    <w:p w14:paraId="42B4B062" w14:textId="1E35975E" w:rsidR="00BA7C4F" w:rsidRPr="00BA7C4F" w:rsidRDefault="00BA7C4F" w:rsidP="00EF194B">
      <w:pPr>
        <w:ind w:left="1080" w:right="360"/>
        <w:rPr>
          <w:rFonts w:ascii="Times New Roman" w:hAnsi="Times New Roman" w:cs="Times New Roman"/>
        </w:rPr>
      </w:pPr>
      <m:oMath>
        <m:r>
          <w:rPr>
            <w:rFonts w:ascii="Cambria Math" w:hAnsi="Cambria Math" w:cs="Times New Roman"/>
          </w:rPr>
          <m:t>n</m:t>
        </m:r>
      </m:oMath>
      <w:r>
        <w:rPr>
          <w:rFonts w:ascii="Times New Roman" w:eastAsiaTheme="minorEastAsia" w:hAnsi="Times New Roman" w:cs="Times New Roman"/>
        </w:rPr>
        <w:t xml:space="preserve"> = Number of loads</w:t>
      </w:r>
    </w:p>
    <w:p w14:paraId="09841843" w14:textId="77777777" w:rsidR="00740223" w:rsidRDefault="00740223" w:rsidP="00740223">
      <w:pPr>
        <w:ind w:left="720" w:right="360"/>
        <w:jc w:val="center"/>
        <w:rPr>
          <w:rFonts w:ascii="Times New Roman" w:hAnsi="Times New Roman" w:cs="Times New Roman"/>
        </w:rPr>
      </w:pPr>
      <w:r w:rsidRPr="00022BF9">
        <w:rPr>
          <w:rFonts w:ascii="Times New Roman" w:hAnsi="Times New Roman" w:cs="Times New Roman"/>
          <w:noProof/>
        </w:rPr>
        <w:drawing>
          <wp:inline distT="0" distB="0" distL="0" distR="0" wp14:anchorId="37BAF24F" wp14:editId="19EE8290">
            <wp:extent cx="2743200" cy="2228264"/>
            <wp:effectExtent l="0" t="0" r="0" b="635"/>
            <wp:docPr id="1718136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36928" name=""/>
                    <pic:cNvPicPr/>
                  </pic:nvPicPr>
                  <pic:blipFill>
                    <a:blip r:embed="rId11"/>
                    <a:stretch>
                      <a:fillRect/>
                    </a:stretch>
                  </pic:blipFill>
                  <pic:spPr>
                    <a:xfrm>
                      <a:off x="0" y="0"/>
                      <a:ext cx="2743200" cy="2228264"/>
                    </a:xfrm>
                    <a:prstGeom prst="rect">
                      <a:avLst/>
                    </a:prstGeom>
                  </pic:spPr>
                </pic:pic>
              </a:graphicData>
            </a:graphic>
          </wp:inline>
        </w:drawing>
      </w:r>
    </w:p>
    <w:p w14:paraId="2BA36DE0" w14:textId="32EF81E5" w:rsidR="00740223" w:rsidRDefault="00740223" w:rsidP="00740223">
      <w:pPr>
        <w:pStyle w:val="Caption"/>
      </w:pPr>
      <w:bookmarkStart w:id="4" w:name="_Ref230682055"/>
      <w:r>
        <w:t xml:space="preserve">Figure </w:t>
      </w:r>
      <w:fldSimple w:instr=" SEQ Figure \* ARABIC ">
        <w:r w:rsidR="004307BB">
          <w:rPr>
            <w:noProof/>
          </w:rPr>
          <w:t>4</w:t>
        </w:r>
      </w:fldSimple>
      <w:bookmarkEnd w:id="4"/>
      <w:r>
        <w:t>: Zonal load factor</w:t>
      </w:r>
    </w:p>
    <w:p w14:paraId="643018EB" w14:textId="7B1285C7" w:rsidR="00D1429A" w:rsidRDefault="00D1429A" w:rsidP="00D1429A">
      <w:pPr>
        <w:rPr>
          <w:rFonts w:ascii="Times New Roman" w:hAnsi="Times New Roman" w:cs="Times New Roman"/>
        </w:rPr>
      </w:pPr>
      <w:r w:rsidRPr="00D1429A">
        <w:rPr>
          <w:rFonts w:ascii="Times New Roman" w:hAnsi="Times New Roman" w:cs="Times New Roman"/>
        </w:rPr>
        <w:t xml:space="preserve">For the example depicted in </w:t>
      </w:r>
      <w:r w:rsidRPr="00D1429A">
        <w:rPr>
          <w:rFonts w:ascii="Times New Roman" w:hAnsi="Times New Roman" w:cs="Times New Roman"/>
        </w:rPr>
        <w:fldChar w:fldCharType="begin"/>
      </w:r>
      <w:r w:rsidRPr="00D1429A">
        <w:rPr>
          <w:rFonts w:ascii="Times New Roman" w:hAnsi="Times New Roman" w:cs="Times New Roman"/>
        </w:rPr>
        <w:instrText xml:space="preserve"> REF _Ref230343950 \h </w:instrText>
      </w:r>
      <w:r>
        <w:rPr>
          <w:rFonts w:ascii="Times New Roman" w:hAnsi="Times New Roman" w:cs="Times New Roman"/>
        </w:rPr>
        <w:instrText xml:space="preserve"> \* MERGEFORMAT </w:instrText>
      </w:r>
      <w:r w:rsidRPr="00D1429A">
        <w:rPr>
          <w:rFonts w:ascii="Times New Roman" w:hAnsi="Times New Roman" w:cs="Times New Roman"/>
        </w:rPr>
      </w:r>
      <w:r w:rsidRPr="00D1429A">
        <w:rPr>
          <w:rFonts w:ascii="Times New Roman" w:hAnsi="Times New Roman" w:cs="Times New Roman"/>
        </w:rPr>
        <w:fldChar w:fldCharType="separate"/>
      </w:r>
      <w:r w:rsidRPr="00D1429A">
        <w:rPr>
          <w:rFonts w:ascii="Times New Roman" w:hAnsi="Times New Roman" w:cs="Times New Roman"/>
        </w:rPr>
        <w:t xml:space="preserve">Figure </w:t>
      </w:r>
      <w:r w:rsidRPr="00D1429A">
        <w:rPr>
          <w:rFonts w:ascii="Times New Roman" w:hAnsi="Times New Roman" w:cs="Times New Roman"/>
          <w:noProof/>
        </w:rPr>
        <w:t>1</w:t>
      </w:r>
      <w:r w:rsidRPr="00D1429A">
        <w:rPr>
          <w:rFonts w:ascii="Times New Roman" w:hAnsi="Times New Roman" w:cs="Times New Roman"/>
        </w:rPr>
        <w:fldChar w:fldCharType="end"/>
      </w:r>
      <w:r>
        <w:rPr>
          <w:rFonts w:ascii="Times New Roman" w:hAnsi="Times New Roman" w:cs="Times New Roman"/>
        </w:rPr>
        <w:t xml:space="preserve">, the zonal load factor </w:t>
      </w:r>
      <w:r w:rsidR="00346FF7">
        <w:rPr>
          <w:rFonts w:ascii="Times New Roman" w:hAnsi="Times New Roman" w:cs="Times New Roman"/>
        </w:rPr>
        <w:t xml:space="preserve">for the cycling load </w:t>
      </w:r>
      <w:r>
        <w:rPr>
          <w:rFonts w:ascii="Times New Roman" w:hAnsi="Times New Roman" w:cs="Times New Roman"/>
        </w:rPr>
        <w:t>is:</w:t>
      </w:r>
    </w:p>
    <w:p w14:paraId="1AAAE6EE" w14:textId="349B5F41" w:rsidR="00D1429A" w:rsidRPr="00346FF7" w:rsidRDefault="0005375F" w:rsidP="00D1429A">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f</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sub>
          </m:sSub>
          <m:r>
            <w:rPr>
              <w:rFonts w:ascii="Cambria Math" w:hAnsi="Cambria Math" w:cs="Times New Roman"/>
            </w:rPr>
            <m:t>=0.10+</m:t>
          </m:r>
          <m:d>
            <m:dPr>
              <m:ctrlPr>
                <w:rPr>
                  <w:rFonts w:ascii="Cambria Math" w:hAnsi="Cambria Math" w:cs="Times New Roman"/>
                  <w:i/>
                </w:rPr>
              </m:ctrlPr>
            </m:dPr>
            <m:e>
              <m:r>
                <w:rPr>
                  <w:rFonts w:ascii="Cambria Math" w:hAnsi="Cambria Math" w:cs="Times New Roman"/>
                </w:rPr>
                <m:t>1-0.10</m:t>
              </m:r>
            </m:e>
          </m:d>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50</m:t>
                  </m:r>
                </m:num>
                <m:den>
                  <m:r>
                    <w:rPr>
                      <w:rFonts w:ascii="Cambria Math" w:hAnsi="Cambria Math" w:cs="Times New Roman"/>
                    </w:rPr>
                    <m:t>95</m:t>
                  </m:r>
                </m:den>
              </m:f>
            </m:e>
          </m:d>
          <m:r>
            <w:rPr>
              <w:rFonts w:ascii="Cambria Math" w:hAnsi="Cambria Math" w:cs="Times New Roman"/>
            </w:rPr>
            <m:t>=0.574</m:t>
          </m:r>
        </m:oMath>
      </m:oMathPara>
    </w:p>
    <w:p w14:paraId="2F091AE5" w14:textId="73D57F37" w:rsidR="00346FF7" w:rsidRDefault="00346FF7" w:rsidP="00327077">
      <w:pPr>
        <w:jc w:val="both"/>
        <w:rPr>
          <w:rFonts w:ascii="Times New Roman" w:eastAsiaTheme="minorEastAsia" w:hAnsi="Times New Roman" w:cs="Times New Roman"/>
        </w:rPr>
      </w:pPr>
      <w:r>
        <w:rPr>
          <w:rFonts w:ascii="Times New Roman" w:eastAsiaTheme="minorEastAsia" w:hAnsi="Times New Roman" w:cs="Times New Roman"/>
        </w:rPr>
        <w:t>The zonal load factor for each of the constant power loads is the same as the 24-hour average load factor:</w:t>
      </w:r>
    </w:p>
    <w:p w14:paraId="1D5CB17B" w14:textId="441F87A5" w:rsidR="00346FF7" w:rsidRPr="00C6383D" w:rsidRDefault="0005375F" w:rsidP="00D1429A">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f</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sub>
          </m:sSub>
          <m:r>
            <w:rPr>
              <w:rFonts w:ascii="Cambria Math" w:hAnsi="Cambria Math" w:cs="Times New Roman"/>
            </w:rPr>
            <m:t>=1+</m:t>
          </m:r>
          <m:d>
            <m:dPr>
              <m:ctrlPr>
                <w:rPr>
                  <w:rFonts w:ascii="Cambria Math" w:hAnsi="Cambria Math" w:cs="Times New Roman"/>
                  <w:i/>
                </w:rPr>
              </m:ctrlPr>
            </m:dPr>
            <m:e>
              <m:r>
                <w:rPr>
                  <w:rFonts w:ascii="Cambria Math" w:hAnsi="Cambria Math" w:cs="Times New Roman"/>
                </w:rPr>
                <m:t>1-1</m:t>
              </m:r>
            </m:e>
          </m:d>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10</m:t>
                  </m:r>
                </m:num>
                <m:den>
                  <m:r>
                    <w:rPr>
                      <w:rFonts w:ascii="Cambria Math" w:hAnsi="Cambria Math" w:cs="Times New Roman"/>
                    </w:rPr>
                    <m:t>95</m:t>
                  </m:r>
                </m:den>
              </m:f>
            </m:e>
          </m:d>
          <m:r>
            <w:rPr>
              <w:rFonts w:ascii="Cambria Math" w:hAnsi="Cambria Math" w:cs="Times New Roman"/>
            </w:rPr>
            <m:t>=1</m:t>
          </m:r>
        </m:oMath>
      </m:oMathPara>
    </w:p>
    <w:p w14:paraId="548CCB25" w14:textId="1AAAFAB9" w:rsidR="00C6383D" w:rsidRDefault="00C6383D" w:rsidP="00D1429A">
      <w:pPr>
        <w:rPr>
          <w:rFonts w:ascii="Times New Roman" w:eastAsiaTheme="minorEastAsia" w:hAnsi="Times New Roman" w:cs="Times New Roman"/>
        </w:rPr>
      </w:pPr>
      <w:r>
        <w:rPr>
          <w:rFonts w:ascii="Times New Roman" w:eastAsiaTheme="minorEastAsia" w:hAnsi="Times New Roman" w:cs="Times New Roman"/>
        </w:rPr>
        <w:t xml:space="preserve">For the example depicted in </w:t>
      </w:r>
      <w:r>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REF _Ref230348732 \h  \* MERGEFORMAT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Pr="00C6383D">
        <w:rPr>
          <w:rFonts w:ascii="Times New Roman" w:eastAsiaTheme="minorEastAsia" w:hAnsi="Times New Roman" w:cs="Times New Roman"/>
        </w:rPr>
        <w:t>Figure 2</w:t>
      </w:r>
      <w:r>
        <w:rPr>
          <w:rFonts w:ascii="Times New Roman" w:eastAsiaTheme="minorEastAsia" w:hAnsi="Times New Roman" w:cs="Times New Roman"/>
        </w:rPr>
        <w:fldChar w:fldCharType="end"/>
      </w:r>
      <w:r>
        <w:rPr>
          <w:rFonts w:ascii="Times New Roman" w:eastAsiaTheme="minorEastAsia" w:hAnsi="Times New Roman" w:cs="Times New Roman"/>
        </w:rPr>
        <w:t>, the zonal load factor for the cycling load is:</w:t>
      </w:r>
    </w:p>
    <w:p w14:paraId="28BD1C1C" w14:textId="64BEC1AB" w:rsidR="00C6383D" w:rsidRPr="00C6383D" w:rsidRDefault="0005375F" w:rsidP="00C6383D">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f</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sub>
          </m:sSub>
          <m:r>
            <w:rPr>
              <w:rFonts w:ascii="Cambria Math" w:hAnsi="Cambria Math" w:cs="Times New Roman"/>
            </w:rPr>
            <m:t>=0.10+</m:t>
          </m:r>
          <m:d>
            <m:dPr>
              <m:ctrlPr>
                <w:rPr>
                  <w:rFonts w:ascii="Cambria Math" w:hAnsi="Cambria Math" w:cs="Times New Roman"/>
                  <w:i/>
                </w:rPr>
              </m:ctrlPr>
            </m:dPr>
            <m:e>
              <m:r>
                <w:rPr>
                  <w:rFonts w:ascii="Cambria Math" w:hAnsi="Cambria Math" w:cs="Times New Roman"/>
                </w:rPr>
                <m:t>1-0.10</m:t>
              </m:r>
            </m:e>
          </m:d>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50</m:t>
                  </m:r>
                </m:num>
                <m:den>
                  <m:r>
                    <w:rPr>
                      <w:rFonts w:ascii="Cambria Math" w:hAnsi="Cambria Math" w:cs="Times New Roman"/>
                    </w:rPr>
                    <m:t>90</m:t>
                  </m:r>
                </m:den>
              </m:f>
            </m:e>
          </m:d>
          <m:r>
            <w:rPr>
              <w:rFonts w:ascii="Cambria Math" w:hAnsi="Cambria Math" w:cs="Times New Roman"/>
            </w:rPr>
            <m:t>=0.60</m:t>
          </m:r>
        </m:oMath>
      </m:oMathPara>
    </w:p>
    <w:p w14:paraId="1B7B2C02" w14:textId="50B4190F" w:rsidR="00C6383D" w:rsidRDefault="00C6383D" w:rsidP="00C6383D">
      <w:pPr>
        <w:rPr>
          <w:rFonts w:ascii="Times New Roman" w:eastAsiaTheme="minorEastAsia" w:hAnsi="Times New Roman" w:cs="Times New Roman"/>
        </w:rPr>
      </w:pPr>
      <w:r>
        <w:rPr>
          <w:rFonts w:ascii="Times New Roman" w:eastAsiaTheme="minorEastAsia" w:hAnsi="Times New Roman" w:cs="Times New Roman"/>
        </w:rPr>
        <w:t>Note that the zonal load factor is influenced by the other loads.</w:t>
      </w:r>
    </w:p>
    <w:p w14:paraId="769BFDA3" w14:textId="030E6F5E" w:rsidR="004307BB" w:rsidRDefault="004307BB" w:rsidP="004307BB">
      <w:pPr>
        <w:rPr>
          <w:rFonts w:ascii="Times New Roman" w:eastAsiaTheme="minorEastAsia" w:hAnsi="Times New Roman" w:cs="Times New Roman"/>
        </w:rPr>
      </w:pPr>
      <w:r>
        <w:rPr>
          <w:rFonts w:ascii="Times New Roman" w:eastAsiaTheme="minorEastAsia" w:hAnsi="Times New Roman" w:cs="Times New Roman"/>
        </w:rPr>
        <w:t>For the example depicted in</w:t>
      </w:r>
      <w:r>
        <w:rPr>
          <w:rFonts w:ascii="Times New Roman" w:eastAsiaTheme="minorEastAsia" w:hAnsi="Times New Roman" w:cs="Times New Roman"/>
        </w:rPr>
        <w:t xml:space="preserve"> </w:t>
      </w:r>
      <w:r>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REF _Ref230681728 \h </w:instrText>
      </w:r>
      <w:r>
        <w:rPr>
          <w:rFonts w:ascii="Times New Roman" w:eastAsiaTheme="minorEastAsia" w:hAnsi="Times New Roman" w:cs="Times New Roman"/>
        </w:rPr>
      </w:r>
      <w:r>
        <w:rPr>
          <w:rFonts w:ascii="Times New Roman" w:eastAsiaTheme="minorEastAsia" w:hAnsi="Times New Roman" w:cs="Times New Roman"/>
        </w:rPr>
        <w:instrText xml:space="preserve"> \* MERGEFORMAT </w:instrText>
      </w:r>
      <w:r>
        <w:rPr>
          <w:rFonts w:ascii="Times New Roman" w:eastAsiaTheme="minorEastAsia" w:hAnsi="Times New Roman" w:cs="Times New Roman"/>
        </w:rPr>
        <w:fldChar w:fldCharType="separate"/>
      </w:r>
      <w:r w:rsidRPr="004307BB">
        <w:rPr>
          <w:rFonts w:ascii="Times New Roman" w:eastAsiaTheme="minorEastAsia" w:hAnsi="Times New Roman" w:cs="Times New Roman"/>
        </w:rPr>
        <w:t xml:space="preserve">Figure </w:t>
      </w:r>
      <w:r w:rsidRPr="004307BB">
        <w:rPr>
          <w:rFonts w:ascii="Times New Roman" w:eastAsiaTheme="minorEastAsia" w:hAnsi="Times New Roman" w:cs="Times New Roman"/>
        </w:rPr>
        <w:t>3</w:t>
      </w:r>
      <w:r>
        <w:rPr>
          <w:rFonts w:ascii="Times New Roman" w:eastAsiaTheme="minorEastAsia" w:hAnsi="Times New Roman" w:cs="Times New Roman"/>
        </w:rPr>
        <w:fldChar w:fldCharType="end"/>
      </w:r>
      <w:r>
        <w:rPr>
          <w:rFonts w:ascii="Times New Roman" w:eastAsiaTheme="minorEastAsia" w:hAnsi="Times New Roman" w:cs="Times New Roman"/>
        </w:rPr>
        <w:t>, the zonal load factor for the cycling load is:</w:t>
      </w:r>
    </w:p>
    <w:p w14:paraId="595E5A16" w14:textId="4D622F9F" w:rsidR="004307BB" w:rsidRPr="00534A82" w:rsidRDefault="004307BB" w:rsidP="004307BB">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f</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sub>
          </m:sSub>
          <m:r>
            <w:rPr>
              <w:rFonts w:ascii="Cambria Math" w:hAnsi="Cambria Math" w:cs="Times New Roman"/>
            </w:rPr>
            <m:t>=0.10+</m:t>
          </m:r>
          <m:d>
            <m:dPr>
              <m:ctrlPr>
                <w:rPr>
                  <w:rFonts w:ascii="Cambria Math" w:hAnsi="Cambria Math" w:cs="Times New Roman"/>
                  <w:i/>
                </w:rPr>
              </m:ctrlPr>
            </m:dPr>
            <m:e>
              <m:r>
                <w:rPr>
                  <w:rFonts w:ascii="Cambria Math" w:hAnsi="Cambria Math" w:cs="Times New Roman"/>
                </w:rPr>
                <m:t>1-0.10</m:t>
              </m:r>
            </m:e>
          </m:d>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50</m:t>
                  </m:r>
                </m:num>
                <m:den>
                  <m:r>
                    <w:rPr>
                      <w:rFonts w:ascii="Cambria Math" w:hAnsi="Cambria Math" w:cs="Times New Roman"/>
                    </w:rPr>
                    <m:t>85</m:t>
                  </m:r>
                </m:den>
              </m:f>
            </m:e>
          </m:d>
          <m:r>
            <w:rPr>
              <w:rFonts w:ascii="Cambria Math" w:hAnsi="Cambria Math" w:cs="Times New Roman"/>
            </w:rPr>
            <m:t>=0.6</m:t>
          </m:r>
          <m:r>
            <w:rPr>
              <w:rFonts w:ascii="Cambria Math" w:hAnsi="Cambria Math" w:cs="Times New Roman"/>
            </w:rPr>
            <m:t>29</m:t>
          </m:r>
        </m:oMath>
      </m:oMathPara>
    </w:p>
    <w:p w14:paraId="4125E123" w14:textId="1D4DFA9A" w:rsidR="00C6383D" w:rsidRDefault="00C6383D" w:rsidP="00C6383D">
      <w:pPr>
        <w:pStyle w:val="ListParagraph"/>
        <w:numPr>
          <w:ilvl w:val="0"/>
          <w:numId w:val="1"/>
        </w:numPr>
        <w:contextualSpacing w:val="0"/>
        <w:rPr>
          <w:rFonts w:ascii="Times New Roman" w:hAnsi="Times New Roman" w:cs="Times New Roman"/>
        </w:rPr>
      </w:pPr>
      <w:r>
        <w:rPr>
          <w:rFonts w:ascii="Times New Roman" w:hAnsi="Times New Roman" w:cs="Times New Roman"/>
        </w:rPr>
        <w:t>Calculating Zonal Total Operating Load</w:t>
      </w:r>
    </w:p>
    <w:p w14:paraId="2EEA0EBD" w14:textId="4A7AE8E3" w:rsidR="00346FF7" w:rsidRDefault="00346FF7" w:rsidP="00327077">
      <w:pPr>
        <w:jc w:val="both"/>
        <w:rPr>
          <w:rFonts w:ascii="Times New Roman" w:eastAsiaTheme="minorEastAsia" w:hAnsi="Times New Roman" w:cs="Times New Roman"/>
        </w:rPr>
      </w:pPr>
      <w:r>
        <w:rPr>
          <w:rFonts w:ascii="Times New Roman" w:eastAsiaTheme="minorEastAsia" w:hAnsi="Times New Roman" w:cs="Times New Roman"/>
        </w:rPr>
        <w:t xml:space="preserve">The zonal </w:t>
      </w:r>
      <w:r w:rsidR="00327077">
        <w:rPr>
          <w:rFonts w:ascii="Times New Roman" w:eastAsiaTheme="minorEastAsia" w:hAnsi="Times New Roman" w:cs="Times New Roman"/>
        </w:rPr>
        <w:t xml:space="preserve">total </w:t>
      </w:r>
      <w:r>
        <w:rPr>
          <w:rFonts w:ascii="Times New Roman" w:eastAsiaTheme="minorEastAsia" w:hAnsi="Times New Roman" w:cs="Times New Roman"/>
        </w:rPr>
        <w:t xml:space="preserve">operating load is equal to the sum </w:t>
      </w:r>
      <w:r w:rsidR="00327077">
        <w:rPr>
          <w:rFonts w:ascii="Times New Roman" w:eastAsiaTheme="minorEastAsia" w:hAnsi="Times New Roman" w:cs="Times New Roman"/>
        </w:rPr>
        <w:t>of the zonal operating loads plus the maximum residual zonal power demand.  The zonal operating load for each load is obtained by multiplying the zonal load factor by the load’s connected load.  For each load, the residual zonal power demand is the difference between the peak load and the zonal operating load.  For constant power loads, the residual zonal power demand is zero.</w:t>
      </w:r>
    </w:p>
    <w:p w14:paraId="68FBF57F" w14:textId="4E80F460" w:rsidR="00346FF7" w:rsidRDefault="00327077" w:rsidP="00327077">
      <w:pPr>
        <w:jc w:val="both"/>
        <w:rPr>
          <w:rFonts w:ascii="Times New Roman" w:eastAsiaTheme="minorEastAsia" w:hAnsi="Times New Roman" w:cs="Times New Roman"/>
        </w:rPr>
      </w:pPr>
      <w:r>
        <w:rPr>
          <w:rFonts w:ascii="Times New Roman" w:eastAsiaTheme="minorEastAsia" w:hAnsi="Times New Roman" w:cs="Times New Roman"/>
        </w:rPr>
        <w:t xml:space="preserve">For the example in </w:t>
      </w:r>
      <w:r>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REF _Ref230343950 \h  \* MERGEFORMAT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Pr="00327077">
        <w:rPr>
          <w:rFonts w:ascii="Times New Roman" w:eastAsiaTheme="minorEastAsia" w:hAnsi="Times New Roman" w:cs="Times New Roman"/>
        </w:rPr>
        <w:t>Figure 1</w:t>
      </w:r>
      <w:r>
        <w:rPr>
          <w:rFonts w:ascii="Times New Roman" w:eastAsiaTheme="minorEastAsia" w:hAnsi="Times New Roman" w:cs="Times New Roman"/>
        </w:rPr>
        <w:fldChar w:fldCharType="end"/>
      </w:r>
      <w:r>
        <w:rPr>
          <w:rFonts w:ascii="Times New Roman" w:eastAsiaTheme="minorEastAsia" w:hAnsi="Times New Roman" w:cs="Times New Roman"/>
        </w:rPr>
        <w:t>, the zonal operating load for the cycling load is 0.574 × 50 = 28.7 kW.  The residual power demand for the cycling load is 50 – 28.7 = 21.3 kW.  The zonal total operating load is therefore 9</w:t>
      </w:r>
      <w:r w:rsidR="00CB0BC2">
        <w:rPr>
          <w:rFonts w:ascii="Times New Roman" w:eastAsiaTheme="minorEastAsia" w:hAnsi="Times New Roman" w:cs="Times New Roman"/>
        </w:rPr>
        <w:t xml:space="preserve"> × 1</w:t>
      </w:r>
      <w:r>
        <w:rPr>
          <w:rFonts w:ascii="Times New Roman" w:eastAsiaTheme="minorEastAsia" w:hAnsi="Times New Roman" w:cs="Times New Roman"/>
        </w:rPr>
        <w:t>0 + 28.7 + 21.3 = 140 kW.  In the case of a single cycling load, the zonal total operating load is the same as the peak value of the total load.</w:t>
      </w:r>
    </w:p>
    <w:p w14:paraId="21E9666A" w14:textId="4B879662" w:rsidR="00C6383D" w:rsidRDefault="00C6383D" w:rsidP="00C6383D">
      <w:pPr>
        <w:jc w:val="both"/>
        <w:rPr>
          <w:rFonts w:ascii="Times New Roman" w:eastAsiaTheme="minorEastAsia" w:hAnsi="Times New Roman" w:cs="Times New Roman"/>
        </w:rPr>
      </w:pPr>
      <w:r>
        <w:rPr>
          <w:rFonts w:ascii="Times New Roman" w:eastAsiaTheme="minorEastAsia" w:hAnsi="Times New Roman" w:cs="Times New Roman"/>
        </w:rPr>
        <w:t xml:space="preserve">For the example in </w:t>
      </w:r>
      <w:r>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REF _Ref230348732 \h </w:instrText>
      </w:r>
      <w:r>
        <w:rPr>
          <w:rFonts w:ascii="Times New Roman" w:eastAsiaTheme="minorEastAsia" w:hAnsi="Times New Roman" w:cs="Times New Roman"/>
        </w:rPr>
      </w:r>
      <w:r w:rsidR="00900FB2">
        <w:rPr>
          <w:rFonts w:ascii="Times New Roman" w:eastAsiaTheme="minorEastAsia" w:hAnsi="Times New Roman" w:cs="Times New Roman"/>
        </w:rPr>
        <w:instrText xml:space="preserve"> \* MERGEFORMAT </w:instrText>
      </w:r>
      <w:r>
        <w:rPr>
          <w:rFonts w:ascii="Times New Roman" w:eastAsiaTheme="minorEastAsia" w:hAnsi="Times New Roman" w:cs="Times New Roman"/>
        </w:rPr>
        <w:fldChar w:fldCharType="separate"/>
      </w:r>
      <w:r w:rsidRPr="00900FB2">
        <w:rPr>
          <w:rFonts w:ascii="Times New Roman" w:eastAsiaTheme="minorEastAsia" w:hAnsi="Times New Roman" w:cs="Times New Roman"/>
        </w:rPr>
        <w:t>Figure 2</w:t>
      </w:r>
      <w:r>
        <w:rPr>
          <w:rFonts w:ascii="Times New Roman" w:eastAsiaTheme="minorEastAsia" w:hAnsi="Times New Roman" w:cs="Times New Roman"/>
        </w:rPr>
        <w:fldChar w:fldCharType="end"/>
      </w:r>
      <w:r>
        <w:rPr>
          <w:rFonts w:ascii="Times New Roman" w:eastAsiaTheme="minorEastAsia" w:hAnsi="Times New Roman" w:cs="Times New Roman"/>
        </w:rPr>
        <w:t xml:space="preserve">, the zonal operating load for the cycling loads is 0.60 × 50 = 30 kW.  The residual power demand for each of the cycling loads is 50 – 30 = 20 kW.  The zonal total operating load is therefore 8 </w:t>
      </w:r>
      <w:r w:rsidR="00CB0BC2">
        <w:rPr>
          <w:rFonts w:ascii="Times New Roman" w:eastAsiaTheme="minorEastAsia" w:hAnsi="Times New Roman" w:cs="Times New Roman"/>
        </w:rPr>
        <w:t xml:space="preserve">× 10 </w:t>
      </w:r>
      <w:r>
        <w:rPr>
          <w:rFonts w:ascii="Times New Roman" w:eastAsiaTheme="minorEastAsia" w:hAnsi="Times New Roman" w:cs="Times New Roman"/>
        </w:rPr>
        <w:t xml:space="preserve">+ 30 </w:t>
      </w:r>
      <w:r w:rsidR="00CB0BC2">
        <w:rPr>
          <w:rFonts w:ascii="Times New Roman" w:eastAsiaTheme="minorEastAsia" w:hAnsi="Times New Roman" w:cs="Times New Roman"/>
        </w:rPr>
        <w:t>× 2</w:t>
      </w:r>
      <w:r>
        <w:rPr>
          <w:rFonts w:ascii="Times New Roman" w:eastAsiaTheme="minorEastAsia" w:hAnsi="Times New Roman" w:cs="Times New Roman"/>
        </w:rPr>
        <w:t xml:space="preserve"> + 20 = 160 kW.  Compare this with the peak value of the combined load of 180 kW.  The peak load, which does not occur as frequently as the cycling load, is 12.5% greater than the </w:t>
      </w:r>
      <w:r w:rsidR="00EA04D9">
        <w:rPr>
          <w:rFonts w:ascii="Times New Roman" w:eastAsiaTheme="minorEastAsia" w:hAnsi="Times New Roman" w:cs="Times New Roman"/>
        </w:rPr>
        <w:t>zonal total operating load.  Under normal operation, sources are typically not loaded beyond 95% of their rated output.  Furthermore, most sources are capable of short-term overloads of at least 10% of their rated output.  Between these two factors, the source is likely not to be overloaded when both cycling loads are online.</w:t>
      </w:r>
      <w:r w:rsidR="00CB0BC2">
        <w:rPr>
          <w:rFonts w:ascii="Times New Roman" w:eastAsiaTheme="minorEastAsia" w:hAnsi="Times New Roman" w:cs="Times New Roman"/>
        </w:rPr>
        <w:t xml:space="preserve">  Closer examination is warranted if the source is a power electronic converter with minimal overload capability.</w:t>
      </w:r>
    </w:p>
    <w:p w14:paraId="38BDC7D1" w14:textId="3A9DF1F1" w:rsidR="004307BB" w:rsidRDefault="004307BB" w:rsidP="00C6383D">
      <w:pPr>
        <w:jc w:val="both"/>
        <w:rPr>
          <w:rFonts w:ascii="Times New Roman" w:eastAsiaTheme="minorEastAsia" w:hAnsi="Times New Roman" w:cs="Times New Roman"/>
        </w:rPr>
      </w:pPr>
      <w:r>
        <w:rPr>
          <w:rFonts w:ascii="Times New Roman" w:eastAsiaTheme="minorEastAsia" w:hAnsi="Times New Roman" w:cs="Times New Roman"/>
        </w:rPr>
        <w:t xml:space="preserve">For the example in </w:t>
      </w:r>
      <w:r>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REF _Ref230681728 \h </w:instrText>
      </w:r>
      <w:r>
        <w:rPr>
          <w:rFonts w:ascii="Times New Roman" w:eastAsiaTheme="minorEastAsia" w:hAnsi="Times New Roman" w:cs="Times New Roman"/>
        </w:rPr>
      </w:r>
      <w:r>
        <w:rPr>
          <w:rFonts w:ascii="Times New Roman" w:eastAsiaTheme="minorEastAsia" w:hAnsi="Times New Roman" w:cs="Times New Roman"/>
        </w:rPr>
        <w:instrText xml:space="preserve"> \* MERGEFORMAT </w:instrText>
      </w:r>
      <w:r>
        <w:rPr>
          <w:rFonts w:ascii="Times New Roman" w:eastAsiaTheme="minorEastAsia" w:hAnsi="Times New Roman" w:cs="Times New Roman"/>
        </w:rPr>
        <w:fldChar w:fldCharType="separate"/>
      </w:r>
      <w:r w:rsidRPr="004307BB">
        <w:rPr>
          <w:rFonts w:ascii="Times New Roman" w:eastAsiaTheme="minorEastAsia" w:hAnsi="Times New Roman" w:cs="Times New Roman"/>
        </w:rPr>
        <w:t xml:space="preserve">Figure </w:t>
      </w:r>
      <w:r w:rsidRPr="004307BB">
        <w:rPr>
          <w:rFonts w:ascii="Times New Roman" w:eastAsiaTheme="minorEastAsia" w:hAnsi="Times New Roman" w:cs="Times New Roman"/>
        </w:rPr>
        <w:t>3</w:t>
      </w:r>
      <w:r>
        <w:rPr>
          <w:rFonts w:ascii="Times New Roman" w:eastAsiaTheme="minorEastAsia" w:hAnsi="Times New Roman" w:cs="Times New Roman"/>
        </w:rPr>
        <w:fldChar w:fldCharType="end"/>
      </w:r>
      <w:r>
        <w:rPr>
          <w:rFonts w:ascii="Times New Roman" w:eastAsiaTheme="minorEastAsia" w:hAnsi="Times New Roman" w:cs="Times New Roman"/>
        </w:rPr>
        <w:t xml:space="preserve">, the zonal operating load for the cycling loads is 0.629 </w:t>
      </w:r>
      <w:r>
        <w:rPr>
          <w:rFonts w:ascii="Times New Roman" w:eastAsiaTheme="minorEastAsia" w:hAnsi="Times New Roman" w:cs="Times New Roman"/>
        </w:rPr>
        <w:t>× 50 = 3</w:t>
      </w:r>
      <w:r>
        <w:rPr>
          <w:rFonts w:ascii="Times New Roman" w:eastAsiaTheme="minorEastAsia" w:hAnsi="Times New Roman" w:cs="Times New Roman"/>
        </w:rPr>
        <w:t>1.47</w:t>
      </w:r>
      <w:r>
        <w:rPr>
          <w:rFonts w:ascii="Times New Roman" w:eastAsiaTheme="minorEastAsia" w:hAnsi="Times New Roman" w:cs="Times New Roman"/>
        </w:rPr>
        <w:t xml:space="preserve"> kW</w:t>
      </w:r>
      <w:r>
        <w:rPr>
          <w:rFonts w:ascii="Times New Roman" w:eastAsiaTheme="minorEastAsia" w:hAnsi="Times New Roman" w:cs="Times New Roman"/>
        </w:rPr>
        <w:t xml:space="preserve">.  </w:t>
      </w:r>
      <w:r>
        <w:rPr>
          <w:rFonts w:ascii="Times New Roman" w:eastAsiaTheme="minorEastAsia" w:hAnsi="Times New Roman" w:cs="Times New Roman"/>
        </w:rPr>
        <w:t>The residual power demand for each of the cycling loads is 50 – 3</w:t>
      </w:r>
      <w:r>
        <w:rPr>
          <w:rFonts w:ascii="Times New Roman" w:eastAsiaTheme="minorEastAsia" w:hAnsi="Times New Roman" w:cs="Times New Roman"/>
        </w:rPr>
        <w:t>1.47</w:t>
      </w:r>
      <w:r>
        <w:rPr>
          <w:rFonts w:ascii="Times New Roman" w:eastAsiaTheme="minorEastAsia" w:hAnsi="Times New Roman" w:cs="Times New Roman"/>
        </w:rPr>
        <w:t xml:space="preserve"> = </w:t>
      </w:r>
      <w:r>
        <w:rPr>
          <w:rFonts w:ascii="Times New Roman" w:eastAsiaTheme="minorEastAsia" w:hAnsi="Times New Roman" w:cs="Times New Roman"/>
        </w:rPr>
        <w:t>18.53</w:t>
      </w:r>
      <w:r>
        <w:rPr>
          <w:rFonts w:ascii="Times New Roman" w:eastAsiaTheme="minorEastAsia" w:hAnsi="Times New Roman" w:cs="Times New Roman"/>
        </w:rPr>
        <w:t xml:space="preserve"> kW</w:t>
      </w:r>
      <w:r>
        <w:rPr>
          <w:rFonts w:ascii="Times New Roman" w:eastAsiaTheme="minorEastAsia" w:hAnsi="Times New Roman" w:cs="Times New Roman"/>
        </w:rPr>
        <w:t xml:space="preserve">.  The zonal total operating load is therefore 7 </w:t>
      </w:r>
      <w:r>
        <w:rPr>
          <w:rFonts w:ascii="Times New Roman" w:eastAsiaTheme="minorEastAsia" w:hAnsi="Times New Roman" w:cs="Times New Roman"/>
        </w:rPr>
        <w:t>× 10 + 3</w:t>
      </w:r>
      <w:r>
        <w:rPr>
          <w:rFonts w:ascii="Times New Roman" w:eastAsiaTheme="minorEastAsia" w:hAnsi="Times New Roman" w:cs="Times New Roman"/>
        </w:rPr>
        <w:t>1.47</w:t>
      </w:r>
      <w:r>
        <w:rPr>
          <w:rFonts w:ascii="Times New Roman" w:eastAsiaTheme="minorEastAsia" w:hAnsi="Times New Roman" w:cs="Times New Roman"/>
        </w:rPr>
        <w:t xml:space="preserve"> × </w:t>
      </w:r>
      <w:r>
        <w:rPr>
          <w:rFonts w:ascii="Times New Roman" w:eastAsiaTheme="minorEastAsia" w:hAnsi="Times New Roman" w:cs="Times New Roman"/>
        </w:rPr>
        <w:t>3</w:t>
      </w:r>
      <w:r>
        <w:rPr>
          <w:rFonts w:ascii="Times New Roman" w:eastAsiaTheme="minorEastAsia" w:hAnsi="Times New Roman" w:cs="Times New Roman"/>
        </w:rPr>
        <w:t xml:space="preserve"> + </w:t>
      </w:r>
      <w:r>
        <w:rPr>
          <w:rFonts w:ascii="Times New Roman" w:eastAsiaTheme="minorEastAsia" w:hAnsi="Times New Roman" w:cs="Times New Roman"/>
        </w:rPr>
        <w:t>18.53</w:t>
      </w:r>
      <w:r>
        <w:rPr>
          <w:rFonts w:ascii="Times New Roman" w:eastAsiaTheme="minorEastAsia" w:hAnsi="Times New Roman" w:cs="Times New Roman"/>
        </w:rPr>
        <w:t xml:space="preserve"> = </w:t>
      </w:r>
      <w:r>
        <w:rPr>
          <w:rFonts w:ascii="Times New Roman" w:eastAsiaTheme="minorEastAsia" w:hAnsi="Times New Roman" w:cs="Times New Roman"/>
        </w:rPr>
        <w:t>182.9</w:t>
      </w:r>
      <w:r>
        <w:rPr>
          <w:rFonts w:ascii="Times New Roman" w:eastAsiaTheme="minorEastAsia" w:hAnsi="Times New Roman" w:cs="Times New Roman"/>
        </w:rPr>
        <w:t xml:space="preserve"> kW</w:t>
      </w:r>
      <w:r>
        <w:rPr>
          <w:rFonts w:ascii="Times New Roman" w:eastAsiaTheme="minorEastAsia" w:hAnsi="Times New Roman" w:cs="Times New Roman"/>
        </w:rPr>
        <w:t>.  Compare this with the observed peak value of 170 kW and the possible peak value of 220 kW.  The zonal total operating load is greater than the observed peak value and the possible peak value is about 20% greater than the zonal total operating load.  The overload capability of the sources should be examined to determine if the short-duration overloads of magnitude 15% can be tolerated (assuming maximum 95% loading of sources).</w:t>
      </w:r>
    </w:p>
    <w:p w14:paraId="0394004D" w14:textId="0605FB20" w:rsidR="00327077" w:rsidRDefault="00327077" w:rsidP="004307BB">
      <w:pPr>
        <w:pStyle w:val="ListParagraph"/>
        <w:keepNext/>
        <w:numPr>
          <w:ilvl w:val="0"/>
          <w:numId w:val="1"/>
        </w:numPr>
        <w:contextualSpacing w:val="0"/>
        <w:rPr>
          <w:rFonts w:ascii="Times New Roman" w:hAnsi="Times New Roman" w:cs="Times New Roman"/>
        </w:rPr>
      </w:pPr>
      <w:r>
        <w:rPr>
          <w:rFonts w:ascii="Times New Roman" w:hAnsi="Times New Roman" w:cs="Times New Roman"/>
        </w:rPr>
        <w:lastRenderedPageBreak/>
        <w:t xml:space="preserve">Calculating Zonal </w:t>
      </w:r>
      <w:r w:rsidR="00C6383D">
        <w:rPr>
          <w:rFonts w:ascii="Times New Roman" w:hAnsi="Times New Roman" w:cs="Times New Roman"/>
        </w:rPr>
        <w:t>Demand Power</w:t>
      </w:r>
    </w:p>
    <w:p w14:paraId="728EF564" w14:textId="7F9BCA5C" w:rsidR="00C6383D" w:rsidRPr="00C6383D" w:rsidRDefault="00C6383D" w:rsidP="00900FB2">
      <w:pPr>
        <w:jc w:val="both"/>
        <w:rPr>
          <w:rFonts w:ascii="Times New Roman" w:hAnsi="Times New Roman" w:cs="Times New Roman"/>
        </w:rPr>
      </w:pPr>
      <w:r>
        <w:rPr>
          <w:rFonts w:ascii="Times New Roman" w:hAnsi="Times New Roman" w:cs="Times New Roman"/>
        </w:rPr>
        <w:t>The zonal demand power is calculated by applying margin and service life allowance to the zonal total operating load.</w:t>
      </w:r>
      <w:r w:rsidR="00900FB2">
        <w:rPr>
          <w:rFonts w:ascii="Times New Roman" w:hAnsi="Times New Roman" w:cs="Times New Roman"/>
        </w:rPr>
        <w:t xml:space="preserve">  The zonal demand power should be used to determine the minimum rating of the associated power system equipment.</w:t>
      </w:r>
    </w:p>
    <w:p w14:paraId="210DD3F5" w14:textId="20647BBB" w:rsidR="0034723A" w:rsidRPr="0034723A" w:rsidRDefault="00E929F8" w:rsidP="008A1DF5">
      <w:pPr>
        <w:pStyle w:val="ListParagraph"/>
        <w:keepNext/>
        <w:numPr>
          <w:ilvl w:val="0"/>
          <w:numId w:val="1"/>
        </w:numPr>
        <w:spacing w:before="240"/>
        <w:contextualSpacing w:val="0"/>
        <w:rPr>
          <w:rFonts w:ascii="Times New Roman" w:hAnsi="Times New Roman" w:cs="Times New Roman"/>
        </w:rPr>
      </w:pPr>
      <w:r>
        <w:rPr>
          <w:rFonts w:ascii="Times New Roman" w:hAnsi="Times New Roman" w:cs="Times New Roman"/>
        </w:rPr>
        <w:t>Reference</w:t>
      </w:r>
      <w:r w:rsidR="0034723A">
        <w:rPr>
          <w:rFonts w:ascii="Times New Roman" w:hAnsi="Times New Roman" w:cs="Times New Roman"/>
        </w:rPr>
        <w:t>s</w:t>
      </w:r>
    </w:p>
    <w:p w14:paraId="3460C89F" w14:textId="327441E5" w:rsidR="00E650D2" w:rsidRDefault="00E650D2" w:rsidP="000E3F1D">
      <w:pPr>
        <w:pStyle w:val="NormalWeb"/>
        <w:ind w:left="-90"/>
      </w:pPr>
      <w:r w:rsidRPr="00E650D2">
        <w:t>DPC 310-1</w:t>
      </w:r>
      <w:r>
        <w:t xml:space="preserve"> </w:t>
      </w:r>
      <w:r w:rsidRPr="00E650D2">
        <w:t>Electric Power Load Analysis (EPLA) for Surface Ships</w:t>
      </w:r>
    </w:p>
    <w:sectPr w:rsidR="00E650D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569B" w14:textId="77777777" w:rsidR="0005375F" w:rsidRDefault="0005375F" w:rsidP="008C641F">
      <w:pPr>
        <w:spacing w:after="0" w:line="240" w:lineRule="auto"/>
      </w:pPr>
      <w:r>
        <w:separator/>
      </w:r>
    </w:p>
  </w:endnote>
  <w:endnote w:type="continuationSeparator" w:id="0">
    <w:p w14:paraId="6DD642F6" w14:textId="77777777" w:rsidR="0005375F" w:rsidRDefault="0005375F" w:rsidP="008C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9A93" w14:textId="24D35688" w:rsidR="008C641F" w:rsidRDefault="008C641F" w:rsidP="008C641F">
    <w:pPr>
      <w:pStyle w:val="Footer"/>
    </w:pPr>
    <w:r>
      <w:rPr>
        <w:noProof/>
      </w:rPr>
      <w:drawing>
        <wp:anchor distT="0" distB="0" distL="114300" distR="114300" simplePos="0" relativeHeight="251660288" behindDoc="0" locked="0" layoutInCell="1" allowOverlap="1" wp14:anchorId="4DB4C112" wp14:editId="4000FD52">
          <wp:simplePos x="0" y="0"/>
          <wp:positionH relativeFrom="column">
            <wp:posOffset>227965</wp:posOffset>
          </wp:positionH>
          <wp:positionV relativeFrom="paragraph">
            <wp:posOffset>92075</wp:posOffset>
          </wp:positionV>
          <wp:extent cx="210312" cy="210312"/>
          <wp:effectExtent l="0" t="0" r="0" b="0"/>
          <wp:wrapThrough wrapText="bothSides">
            <wp:wrapPolygon edited="0">
              <wp:start x="1958" y="0"/>
              <wp:lineTo x="0" y="3915"/>
              <wp:lineTo x="0" y="17619"/>
              <wp:lineTo x="1958" y="19577"/>
              <wp:lineTo x="19577" y="19577"/>
              <wp:lineTo x="19577" y="0"/>
              <wp:lineTo x="1958" y="0"/>
            </wp:wrapPolygon>
          </wp:wrapThrough>
          <wp:docPr id="296658809" name="Picture 6" descr="A black and white circle with a person in it&#10;&#10;Description automatically generated">
            <a:extLst xmlns:a="http://schemas.openxmlformats.org/drawingml/2006/main">
              <a:ext uri="{FF2B5EF4-FFF2-40B4-BE49-F238E27FC236}">
                <a16:creationId xmlns:a16="http://schemas.microsoft.com/office/drawing/2014/main" id="{53FC4551-71F8-562A-A0D4-FBB2407126C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descr="A black and white circle with a person in it&#10;&#10;Description automatically generated">
                    <a:extLst>
                      <a:ext uri="{FF2B5EF4-FFF2-40B4-BE49-F238E27FC236}">
                        <a16:creationId xmlns:a16="http://schemas.microsoft.com/office/drawing/2014/main" id="{53FC4551-71F8-562A-A0D4-FBB2407126C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0312" cy="210312"/>
                  </a:xfrm>
                  <a:prstGeom prst="rect">
                    <a:avLst/>
                  </a:prstGeom>
                  <a:noFill/>
                </pic:spPr>
              </pic:pic>
            </a:graphicData>
          </a:graphic>
          <wp14:sizeRelH relativeFrom="margin">
            <wp14:pctWidth>0</wp14:pctWidth>
          </wp14:sizeRelH>
          <wp14:sizeRelV relativeFrom="margin">
            <wp14:pctHeight>0</wp14:pctHeight>
          </wp14:sizeRelV>
        </wp:anchor>
      </w:drawing>
    </w:r>
    <w:r>
      <w:tab/>
    </w:r>
    <w:r w:rsidRPr="00124833">
      <w:t>© 202</w:t>
    </w:r>
    <w:r w:rsidR="00C93341">
      <w:t>6</w:t>
    </w:r>
    <w:r w:rsidRPr="00124833">
      <w:t xml:space="preserve"> by Norbert Doerry</w:t>
    </w:r>
  </w:p>
  <w:p w14:paraId="6278C1EE" w14:textId="77777777" w:rsidR="008C641F" w:rsidRDefault="008C641F" w:rsidP="008C641F">
    <w:pPr>
      <w:pStyle w:val="Footer"/>
    </w:pPr>
    <w:r>
      <w:rPr>
        <w:noProof/>
      </w:rPr>
      <w:drawing>
        <wp:anchor distT="0" distB="0" distL="114300" distR="114300" simplePos="0" relativeHeight="251659264" behindDoc="0" locked="0" layoutInCell="1" allowOverlap="1" wp14:anchorId="31CF6CF9" wp14:editId="0102FE65">
          <wp:simplePos x="0" y="0"/>
          <wp:positionH relativeFrom="column">
            <wp:posOffset>0</wp:posOffset>
          </wp:positionH>
          <wp:positionV relativeFrom="paragraph">
            <wp:posOffset>-78105</wp:posOffset>
          </wp:positionV>
          <wp:extent cx="207818" cy="209550"/>
          <wp:effectExtent l="0" t="0" r="1905" b="0"/>
          <wp:wrapNone/>
          <wp:docPr id="199747331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77314" name="Picture 1"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818" cy="209550"/>
                  </a:xfrm>
                  <a:prstGeom prst="rect">
                    <a:avLst/>
                  </a:prstGeom>
                  <a:noFill/>
                </pic:spPr>
              </pic:pic>
            </a:graphicData>
          </a:graphic>
        </wp:anchor>
      </w:drawing>
    </w:r>
    <w:r>
      <w:tab/>
    </w:r>
    <w:r w:rsidRPr="00124833">
      <w:t>This work is licensed via: CC BY 4.0</w:t>
    </w:r>
    <w:proofErr w:type="gramStart"/>
    <w:r w:rsidRPr="00124833">
      <w:t xml:space="preserve">   (</w:t>
    </w:r>
    <w:proofErr w:type="gramEnd"/>
    <w:r w:rsidRPr="00124833">
      <w:t>https://creativecommons.org/)</w:t>
    </w:r>
    <w:r>
      <w:tab/>
    </w:r>
    <w:sdt>
      <w:sdtPr>
        <w:id w:val="11036148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9427" w14:textId="77777777" w:rsidR="0005375F" w:rsidRDefault="0005375F" w:rsidP="008C641F">
      <w:pPr>
        <w:spacing w:after="0" w:line="240" w:lineRule="auto"/>
      </w:pPr>
      <w:r>
        <w:separator/>
      </w:r>
    </w:p>
  </w:footnote>
  <w:footnote w:type="continuationSeparator" w:id="0">
    <w:p w14:paraId="70FA3FD1" w14:textId="77777777" w:rsidR="0005375F" w:rsidRDefault="0005375F" w:rsidP="008C6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66F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CB3AF9"/>
    <w:multiLevelType w:val="hybridMultilevel"/>
    <w:tmpl w:val="B2C6DCD0"/>
    <w:lvl w:ilvl="0" w:tplc="D14AA6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054795"/>
    <w:multiLevelType w:val="multilevel"/>
    <w:tmpl w:val="5992A9A0"/>
    <w:lvl w:ilvl="0">
      <w:start w:val="1"/>
      <w:numFmt w:val="decimal"/>
      <w:pStyle w:val="tablecaption"/>
      <w:suff w:val="space"/>
      <w:lvlText w:val="Table %1."/>
      <w:lvlJc w:val="left"/>
      <w:pPr>
        <w:ind w:left="1980" w:firstLine="0"/>
      </w:pPr>
      <w:rPr>
        <w:rFonts w:ascii="Times New Roman" w:hAnsi="Times New Roman" w:hint="default"/>
        <w:b/>
        <w:i w:val="0"/>
        <w:sz w:val="18"/>
        <w:szCs w:val="18"/>
      </w:rPr>
    </w:lvl>
    <w:lvl w:ilvl="1">
      <w:start w:val="1"/>
      <w:numFmt w:val="decimal"/>
      <w:lvlText w:val="%1.%2."/>
      <w:lvlJc w:val="left"/>
      <w:pPr>
        <w:tabs>
          <w:tab w:val="num" w:pos="900"/>
        </w:tabs>
        <w:ind w:left="-108" w:hanging="432"/>
      </w:pPr>
      <w:rPr>
        <w:rFonts w:hint="default"/>
      </w:rPr>
    </w:lvl>
    <w:lvl w:ilvl="2">
      <w:start w:val="1"/>
      <w:numFmt w:val="decimal"/>
      <w:lvlText w:val="%1.%2.%3."/>
      <w:lvlJc w:val="left"/>
      <w:pPr>
        <w:tabs>
          <w:tab w:val="num" w:pos="1620"/>
        </w:tabs>
        <w:ind w:left="324" w:hanging="504"/>
      </w:pPr>
      <w:rPr>
        <w:rFonts w:hint="default"/>
      </w:rPr>
    </w:lvl>
    <w:lvl w:ilvl="3">
      <w:start w:val="1"/>
      <w:numFmt w:val="decimal"/>
      <w:lvlText w:val="%1.%2.%3.%4."/>
      <w:lvlJc w:val="left"/>
      <w:pPr>
        <w:tabs>
          <w:tab w:val="num" w:pos="2700"/>
        </w:tabs>
        <w:ind w:left="828" w:hanging="648"/>
      </w:pPr>
      <w:rPr>
        <w:rFonts w:hint="default"/>
      </w:rPr>
    </w:lvl>
    <w:lvl w:ilvl="4">
      <w:start w:val="1"/>
      <w:numFmt w:val="decimal"/>
      <w:lvlText w:val="%1.%2.%3.%4.%5."/>
      <w:lvlJc w:val="left"/>
      <w:pPr>
        <w:tabs>
          <w:tab w:val="num" w:pos="3420"/>
        </w:tabs>
        <w:ind w:left="1332" w:hanging="792"/>
      </w:pPr>
      <w:rPr>
        <w:rFonts w:hint="default"/>
      </w:rPr>
    </w:lvl>
    <w:lvl w:ilvl="5">
      <w:start w:val="1"/>
      <w:numFmt w:val="decimal"/>
      <w:lvlText w:val="%1.%2.%3.%4.%5.%6."/>
      <w:lvlJc w:val="left"/>
      <w:pPr>
        <w:tabs>
          <w:tab w:val="num" w:pos="4500"/>
        </w:tabs>
        <w:ind w:left="1836" w:hanging="936"/>
      </w:pPr>
      <w:rPr>
        <w:rFonts w:hint="default"/>
      </w:rPr>
    </w:lvl>
    <w:lvl w:ilvl="6">
      <w:start w:val="1"/>
      <w:numFmt w:val="decimal"/>
      <w:lvlText w:val="%1.%2.%3.%4.%5.%6.%7."/>
      <w:lvlJc w:val="left"/>
      <w:pPr>
        <w:tabs>
          <w:tab w:val="num" w:pos="5220"/>
        </w:tabs>
        <w:ind w:left="2340" w:hanging="1080"/>
      </w:pPr>
      <w:rPr>
        <w:rFonts w:hint="default"/>
      </w:rPr>
    </w:lvl>
    <w:lvl w:ilvl="7">
      <w:start w:val="1"/>
      <w:numFmt w:val="decimal"/>
      <w:lvlText w:val="%1.%2.%3.%4.%5.%6.%7.%8."/>
      <w:lvlJc w:val="left"/>
      <w:pPr>
        <w:tabs>
          <w:tab w:val="num" w:pos="6300"/>
        </w:tabs>
        <w:ind w:left="2844" w:hanging="1224"/>
      </w:pPr>
      <w:rPr>
        <w:rFonts w:hint="default"/>
      </w:rPr>
    </w:lvl>
    <w:lvl w:ilvl="8">
      <w:start w:val="1"/>
      <w:numFmt w:val="decimal"/>
      <w:lvlText w:val="%1.%2.%3.%4.%5.%6.%7.%8.%9."/>
      <w:lvlJc w:val="left"/>
      <w:pPr>
        <w:tabs>
          <w:tab w:val="num" w:pos="7020"/>
        </w:tabs>
        <w:ind w:left="3420" w:hanging="1440"/>
      </w:pPr>
      <w:rPr>
        <w:rFonts w:hint="default"/>
      </w:rPr>
    </w:lvl>
  </w:abstractNum>
  <w:num w:numId="1" w16cid:durableId="750811941">
    <w:abstractNumId w:val="0"/>
  </w:num>
  <w:num w:numId="2" w16cid:durableId="1614943384">
    <w:abstractNumId w:val="2"/>
  </w:num>
  <w:num w:numId="3" w16cid:durableId="209789990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0E"/>
    <w:rsid w:val="00003150"/>
    <w:rsid w:val="000063C8"/>
    <w:rsid w:val="00006E8A"/>
    <w:rsid w:val="000144FD"/>
    <w:rsid w:val="00016FB7"/>
    <w:rsid w:val="00017A95"/>
    <w:rsid w:val="00021CC0"/>
    <w:rsid w:val="00022BF9"/>
    <w:rsid w:val="000234BB"/>
    <w:rsid w:val="00026505"/>
    <w:rsid w:val="00027200"/>
    <w:rsid w:val="000312FB"/>
    <w:rsid w:val="000326DA"/>
    <w:rsid w:val="000336D4"/>
    <w:rsid w:val="00034183"/>
    <w:rsid w:val="000359E1"/>
    <w:rsid w:val="00040B96"/>
    <w:rsid w:val="00041571"/>
    <w:rsid w:val="00042F44"/>
    <w:rsid w:val="00044701"/>
    <w:rsid w:val="0004490D"/>
    <w:rsid w:val="00044B38"/>
    <w:rsid w:val="00046E2C"/>
    <w:rsid w:val="0005354F"/>
    <w:rsid w:val="0005375F"/>
    <w:rsid w:val="000542F8"/>
    <w:rsid w:val="000545C1"/>
    <w:rsid w:val="00055791"/>
    <w:rsid w:val="00056D5C"/>
    <w:rsid w:val="000603F7"/>
    <w:rsid w:val="000606C6"/>
    <w:rsid w:val="00062C95"/>
    <w:rsid w:val="0006606C"/>
    <w:rsid w:val="000666C6"/>
    <w:rsid w:val="00072EFC"/>
    <w:rsid w:val="000736C2"/>
    <w:rsid w:val="00073D04"/>
    <w:rsid w:val="00074676"/>
    <w:rsid w:val="00074E75"/>
    <w:rsid w:val="00075288"/>
    <w:rsid w:val="00076054"/>
    <w:rsid w:val="00080EDC"/>
    <w:rsid w:val="00081D04"/>
    <w:rsid w:val="00082660"/>
    <w:rsid w:val="000850B0"/>
    <w:rsid w:val="000864FB"/>
    <w:rsid w:val="0008722D"/>
    <w:rsid w:val="00090235"/>
    <w:rsid w:val="0009163D"/>
    <w:rsid w:val="00093A42"/>
    <w:rsid w:val="00094CC0"/>
    <w:rsid w:val="00095CA8"/>
    <w:rsid w:val="0009690C"/>
    <w:rsid w:val="000A0181"/>
    <w:rsid w:val="000A1008"/>
    <w:rsid w:val="000A14C2"/>
    <w:rsid w:val="000A30A0"/>
    <w:rsid w:val="000B1FC1"/>
    <w:rsid w:val="000B20EB"/>
    <w:rsid w:val="000B242F"/>
    <w:rsid w:val="000B28E9"/>
    <w:rsid w:val="000B5F4A"/>
    <w:rsid w:val="000C488B"/>
    <w:rsid w:val="000D0ED8"/>
    <w:rsid w:val="000D222C"/>
    <w:rsid w:val="000D50AC"/>
    <w:rsid w:val="000D639D"/>
    <w:rsid w:val="000D6E39"/>
    <w:rsid w:val="000D7C8D"/>
    <w:rsid w:val="000E10C8"/>
    <w:rsid w:val="000E398E"/>
    <w:rsid w:val="000E3F1D"/>
    <w:rsid w:val="000E53A0"/>
    <w:rsid w:val="000E6529"/>
    <w:rsid w:val="000E6EA7"/>
    <w:rsid w:val="000E7EA4"/>
    <w:rsid w:val="000F050F"/>
    <w:rsid w:val="000F3501"/>
    <w:rsid w:val="000F54E8"/>
    <w:rsid w:val="000F59B8"/>
    <w:rsid w:val="00101AFC"/>
    <w:rsid w:val="00101FCF"/>
    <w:rsid w:val="0010376F"/>
    <w:rsid w:val="0010380E"/>
    <w:rsid w:val="00105691"/>
    <w:rsid w:val="00105A40"/>
    <w:rsid w:val="0011132C"/>
    <w:rsid w:val="00115480"/>
    <w:rsid w:val="00117F9D"/>
    <w:rsid w:val="0012248F"/>
    <w:rsid w:val="001227BE"/>
    <w:rsid w:val="00122EDC"/>
    <w:rsid w:val="001270F0"/>
    <w:rsid w:val="00130B97"/>
    <w:rsid w:val="00131880"/>
    <w:rsid w:val="00132A5A"/>
    <w:rsid w:val="001346F5"/>
    <w:rsid w:val="00135818"/>
    <w:rsid w:val="00144BAE"/>
    <w:rsid w:val="00145F8E"/>
    <w:rsid w:val="00146150"/>
    <w:rsid w:val="001466AB"/>
    <w:rsid w:val="00150D7C"/>
    <w:rsid w:val="00151581"/>
    <w:rsid w:val="0015232F"/>
    <w:rsid w:val="001537DD"/>
    <w:rsid w:val="001540C2"/>
    <w:rsid w:val="00154BDA"/>
    <w:rsid w:val="00155202"/>
    <w:rsid w:val="00160E54"/>
    <w:rsid w:val="00162456"/>
    <w:rsid w:val="00164302"/>
    <w:rsid w:val="001649D3"/>
    <w:rsid w:val="00164A93"/>
    <w:rsid w:val="00164B28"/>
    <w:rsid w:val="00172CAE"/>
    <w:rsid w:val="0017360A"/>
    <w:rsid w:val="00173937"/>
    <w:rsid w:val="00174065"/>
    <w:rsid w:val="00175AD1"/>
    <w:rsid w:val="00177C7D"/>
    <w:rsid w:val="00180EC1"/>
    <w:rsid w:val="00186BE2"/>
    <w:rsid w:val="00190876"/>
    <w:rsid w:val="00191F8A"/>
    <w:rsid w:val="0019205C"/>
    <w:rsid w:val="001926CB"/>
    <w:rsid w:val="00195DF1"/>
    <w:rsid w:val="001961E8"/>
    <w:rsid w:val="001A27F4"/>
    <w:rsid w:val="001A2D57"/>
    <w:rsid w:val="001A5CE4"/>
    <w:rsid w:val="001A6EE2"/>
    <w:rsid w:val="001B04A3"/>
    <w:rsid w:val="001B243F"/>
    <w:rsid w:val="001B382E"/>
    <w:rsid w:val="001B38BF"/>
    <w:rsid w:val="001B4BB1"/>
    <w:rsid w:val="001B578E"/>
    <w:rsid w:val="001B65DB"/>
    <w:rsid w:val="001B6943"/>
    <w:rsid w:val="001B7611"/>
    <w:rsid w:val="001B767B"/>
    <w:rsid w:val="001B7AEC"/>
    <w:rsid w:val="001C0A38"/>
    <w:rsid w:val="001C0EAC"/>
    <w:rsid w:val="001C1AA0"/>
    <w:rsid w:val="001C2A70"/>
    <w:rsid w:val="001C73A8"/>
    <w:rsid w:val="001C7916"/>
    <w:rsid w:val="001D0DDD"/>
    <w:rsid w:val="001D1CE9"/>
    <w:rsid w:val="001D323E"/>
    <w:rsid w:val="001D34CA"/>
    <w:rsid w:val="001D3FB4"/>
    <w:rsid w:val="001D5A4C"/>
    <w:rsid w:val="001D72A3"/>
    <w:rsid w:val="001D7FA0"/>
    <w:rsid w:val="001E092A"/>
    <w:rsid w:val="001E3419"/>
    <w:rsid w:val="001E5843"/>
    <w:rsid w:val="001E5EDB"/>
    <w:rsid w:val="001E7597"/>
    <w:rsid w:val="001F0C86"/>
    <w:rsid w:val="001F69C4"/>
    <w:rsid w:val="001F714D"/>
    <w:rsid w:val="00204B5D"/>
    <w:rsid w:val="00204C11"/>
    <w:rsid w:val="00204D7B"/>
    <w:rsid w:val="00207ED5"/>
    <w:rsid w:val="002103EA"/>
    <w:rsid w:val="002157CB"/>
    <w:rsid w:val="00215E1A"/>
    <w:rsid w:val="0021706C"/>
    <w:rsid w:val="002202E6"/>
    <w:rsid w:val="00220923"/>
    <w:rsid w:val="00222941"/>
    <w:rsid w:val="00222C0D"/>
    <w:rsid w:val="00223889"/>
    <w:rsid w:val="00224D9B"/>
    <w:rsid w:val="00224F6D"/>
    <w:rsid w:val="00225D6F"/>
    <w:rsid w:val="00225EEC"/>
    <w:rsid w:val="002278A6"/>
    <w:rsid w:val="00230142"/>
    <w:rsid w:val="00235307"/>
    <w:rsid w:val="00236654"/>
    <w:rsid w:val="00236FDA"/>
    <w:rsid w:val="00240E8C"/>
    <w:rsid w:val="00241C3A"/>
    <w:rsid w:val="0024360D"/>
    <w:rsid w:val="00244ED7"/>
    <w:rsid w:val="002462C1"/>
    <w:rsid w:val="0025119E"/>
    <w:rsid w:val="0025295B"/>
    <w:rsid w:val="00252B1D"/>
    <w:rsid w:val="002538D0"/>
    <w:rsid w:val="00253A6A"/>
    <w:rsid w:val="002540A6"/>
    <w:rsid w:val="00254678"/>
    <w:rsid w:val="00254FFE"/>
    <w:rsid w:val="00260721"/>
    <w:rsid w:val="00260DC1"/>
    <w:rsid w:val="002622CD"/>
    <w:rsid w:val="00262FA7"/>
    <w:rsid w:val="002661BC"/>
    <w:rsid w:val="002663D9"/>
    <w:rsid w:val="002770AA"/>
    <w:rsid w:val="00281F46"/>
    <w:rsid w:val="00283BF0"/>
    <w:rsid w:val="002903E4"/>
    <w:rsid w:val="002904C6"/>
    <w:rsid w:val="00293F77"/>
    <w:rsid w:val="00295EE3"/>
    <w:rsid w:val="0029646D"/>
    <w:rsid w:val="00296753"/>
    <w:rsid w:val="00296F02"/>
    <w:rsid w:val="00297D32"/>
    <w:rsid w:val="002A0371"/>
    <w:rsid w:val="002A366A"/>
    <w:rsid w:val="002A49B4"/>
    <w:rsid w:val="002A542C"/>
    <w:rsid w:val="002B2061"/>
    <w:rsid w:val="002B5826"/>
    <w:rsid w:val="002C0D1E"/>
    <w:rsid w:val="002C0F73"/>
    <w:rsid w:val="002C1D9B"/>
    <w:rsid w:val="002C562F"/>
    <w:rsid w:val="002C7EF3"/>
    <w:rsid w:val="002E34B3"/>
    <w:rsid w:val="002E5014"/>
    <w:rsid w:val="002E768B"/>
    <w:rsid w:val="002F0678"/>
    <w:rsid w:val="002F07DA"/>
    <w:rsid w:val="002F0CAC"/>
    <w:rsid w:val="002F0EBE"/>
    <w:rsid w:val="002F20ED"/>
    <w:rsid w:val="002F438C"/>
    <w:rsid w:val="002F535D"/>
    <w:rsid w:val="002F53CA"/>
    <w:rsid w:val="002F543E"/>
    <w:rsid w:val="002F6F96"/>
    <w:rsid w:val="002F777B"/>
    <w:rsid w:val="003004AC"/>
    <w:rsid w:val="003016A3"/>
    <w:rsid w:val="00301744"/>
    <w:rsid w:val="00301B27"/>
    <w:rsid w:val="0030253B"/>
    <w:rsid w:val="00302C96"/>
    <w:rsid w:val="00310258"/>
    <w:rsid w:val="00310C0B"/>
    <w:rsid w:val="00312925"/>
    <w:rsid w:val="00313560"/>
    <w:rsid w:val="00313A77"/>
    <w:rsid w:val="00315382"/>
    <w:rsid w:val="0031639F"/>
    <w:rsid w:val="003211BC"/>
    <w:rsid w:val="00321AD3"/>
    <w:rsid w:val="00321E8A"/>
    <w:rsid w:val="00322E4C"/>
    <w:rsid w:val="003247C2"/>
    <w:rsid w:val="00327077"/>
    <w:rsid w:val="00332496"/>
    <w:rsid w:val="00332C99"/>
    <w:rsid w:val="00334803"/>
    <w:rsid w:val="003372EB"/>
    <w:rsid w:val="00337C37"/>
    <w:rsid w:val="0034022D"/>
    <w:rsid w:val="0034273F"/>
    <w:rsid w:val="00346FF7"/>
    <w:rsid w:val="0034723A"/>
    <w:rsid w:val="003501EE"/>
    <w:rsid w:val="0035280A"/>
    <w:rsid w:val="0035399B"/>
    <w:rsid w:val="00354D11"/>
    <w:rsid w:val="00361AFA"/>
    <w:rsid w:val="0036221F"/>
    <w:rsid w:val="00362D2F"/>
    <w:rsid w:val="003632E4"/>
    <w:rsid w:val="00363ED3"/>
    <w:rsid w:val="00366348"/>
    <w:rsid w:val="00370EFB"/>
    <w:rsid w:val="00374CC0"/>
    <w:rsid w:val="0037511D"/>
    <w:rsid w:val="0037769C"/>
    <w:rsid w:val="00380620"/>
    <w:rsid w:val="003819EF"/>
    <w:rsid w:val="0038226E"/>
    <w:rsid w:val="00384A78"/>
    <w:rsid w:val="00387A1E"/>
    <w:rsid w:val="00390B77"/>
    <w:rsid w:val="00394D21"/>
    <w:rsid w:val="003960DD"/>
    <w:rsid w:val="00397F85"/>
    <w:rsid w:val="003A03F1"/>
    <w:rsid w:val="003A147A"/>
    <w:rsid w:val="003A3E5D"/>
    <w:rsid w:val="003A438D"/>
    <w:rsid w:val="003B00B5"/>
    <w:rsid w:val="003B2041"/>
    <w:rsid w:val="003B4095"/>
    <w:rsid w:val="003B618D"/>
    <w:rsid w:val="003B6C46"/>
    <w:rsid w:val="003B78EE"/>
    <w:rsid w:val="003C10EE"/>
    <w:rsid w:val="003C182D"/>
    <w:rsid w:val="003C3789"/>
    <w:rsid w:val="003C5DCF"/>
    <w:rsid w:val="003D156D"/>
    <w:rsid w:val="003D3622"/>
    <w:rsid w:val="003D389F"/>
    <w:rsid w:val="003D4D37"/>
    <w:rsid w:val="003D4EFE"/>
    <w:rsid w:val="003E12FD"/>
    <w:rsid w:val="003E134D"/>
    <w:rsid w:val="003E1AB7"/>
    <w:rsid w:val="003E3E1E"/>
    <w:rsid w:val="003E6003"/>
    <w:rsid w:val="003E6D1D"/>
    <w:rsid w:val="003E7CF0"/>
    <w:rsid w:val="003F020F"/>
    <w:rsid w:val="003F0DD3"/>
    <w:rsid w:val="003F0E7C"/>
    <w:rsid w:val="003F1A8D"/>
    <w:rsid w:val="003F1C14"/>
    <w:rsid w:val="003F6343"/>
    <w:rsid w:val="00400036"/>
    <w:rsid w:val="00403002"/>
    <w:rsid w:val="00405A91"/>
    <w:rsid w:val="004068D7"/>
    <w:rsid w:val="00410750"/>
    <w:rsid w:val="004141E7"/>
    <w:rsid w:val="00416F7C"/>
    <w:rsid w:val="00417596"/>
    <w:rsid w:val="00417AB1"/>
    <w:rsid w:val="0042336D"/>
    <w:rsid w:val="004236ED"/>
    <w:rsid w:val="00425B5F"/>
    <w:rsid w:val="004307BB"/>
    <w:rsid w:val="004317E8"/>
    <w:rsid w:val="00432059"/>
    <w:rsid w:val="004320AD"/>
    <w:rsid w:val="00434098"/>
    <w:rsid w:val="004341D2"/>
    <w:rsid w:val="00434F51"/>
    <w:rsid w:val="00435231"/>
    <w:rsid w:val="0043682E"/>
    <w:rsid w:val="0044040A"/>
    <w:rsid w:val="00442C54"/>
    <w:rsid w:val="004436B8"/>
    <w:rsid w:val="004444BE"/>
    <w:rsid w:val="00444EE4"/>
    <w:rsid w:val="00446B63"/>
    <w:rsid w:val="00450964"/>
    <w:rsid w:val="00452F9D"/>
    <w:rsid w:val="00453ED1"/>
    <w:rsid w:val="0045619A"/>
    <w:rsid w:val="004562DB"/>
    <w:rsid w:val="00460D0E"/>
    <w:rsid w:val="004615A6"/>
    <w:rsid w:val="004642B5"/>
    <w:rsid w:val="00464F26"/>
    <w:rsid w:val="00465E7B"/>
    <w:rsid w:val="00466D05"/>
    <w:rsid w:val="00467865"/>
    <w:rsid w:val="004729BF"/>
    <w:rsid w:val="00474DD8"/>
    <w:rsid w:val="00476A83"/>
    <w:rsid w:val="00480A0F"/>
    <w:rsid w:val="00483501"/>
    <w:rsid w:val="00492A75"/>
    <w:rsid w:val="004932DE"/>
    <w:rsid w:val="00494E1B"/>
    <w:rsid w:val="00495ADD"/>
    <w:rsid w:val="00496816"/>
    <w:rsid w:val="004A20A1"/>
    <w:rsid w:val="004A2D24"/>
    <w:rsid w:val="004A51A7"/>
    <w:rsid w:val="004A567E"/>
    <w:rsid w:val="004A5D5E"/>
    <w:rsid w:val="004A6679"/>
    <w:rsid w:val="004B0A29"/>
    <w:rsid w:val="004B50AD"/>
    <w:rsid w:val="004C3209"/>
    <w:rsid w:val="004C6478"/>
    <w:rsid w:val="004C738B"/>
    <w:rsid w:val="004C7C38"/>
    <w:rsid w:val="004D2E1D"/>
    <w:rsid w:val="004D30C7"/>
    <w:rsid w:val="004D69E1"/>
    <w:rsid w:val="004D7668"/>
    <w:rsid w:val="004D778D"/>
    <w:rsid w:val="004D7917"/>
    <w:rsid w:val="004E16E0"/>
    <w:rsid w:val="004E4495"/>
    <w:rsid w:val="004E7458"/>
    <w:rsid w:val="004F0118"/>
    <w:rsid w:val="004F4BE4"/>
    <w:rsid w:val="004F56E4"/>
    <w:rsid w:val="005005E7"/>
    <w:rsid w:val="0050439B"/>
    <w:rsid w:val="00504BA9"/>
    <w:rsid w:val="005104B4"/>
    <w:rsid w:val="00510C6E"/>
    <w:rsid w:val="00512536"/>
    <w:rsid w:val="00512A73"/>
    <w:rsid w:val="00513210"/>
    <w:rsid w:val="0051332F"/>
    <w:rsid w:val="00515A0B"/>
    <w:rsid w:val="00515D20"/>
    <w:rsid w:val="00520609"/>
    <w:rsid w:val="00523F26"/>
    <w:rsid w:val="0052526F"/>
    <w:rsid w:val="0052663B"/>
    <w:rsid w:val="0053084C"/>
    <w:rsid w:val="00530E66"/>
    <w:rsid w:val="0053372B"/>
    <w:rsid w:val="005344FC"/>
    <w:rsid w:val="00534889"/>
    <w:rsid w:val="00534A82"/>
    <w:rsid w:val="005373A3"/>
    <w:rsid w:val="00537588"/>
    <w:rsid w:val="00537610"/>
    <w:rsid w:val="005419F7"/>
    <w:rsid w:val="005423FC"/>
    <w:rsid w:val="005464EF"/>
    <w:rsid w:val="005469D5"/>
    <w:rsid w:val="00552918"/>
    <w:rsid w:val="0056030D"/>
    <w:rsid w:val="00563757"/>
    <w:rsid w:val="005639E2"/>
    <w:rsid w:val="005660F4"/>
    <w:rsid w:val="0056744A"/>
    <w:rsid w:val="00570502"/>
    <w:rsid w:val="00570532"/>
    <w:rsid w:val="005721E3"/>
    <w:rsid w:val="00572E02"/>
    <w:rsid w:val="00574572"/>
    <w:rsid w:val="00574A1C"/>
    <w:rsid w:val="00577067"/>
    <w:rsid w:val="00577D4A"/>
    <w:rsid w:val="00583384"/>
    <w:rsid w:val="00591DC5"/>
    <w:rsid w:val="00593545"/>
    <w:rsid w:val="00593AD7"/>
    <w:rsid w:val="00596AA0"/>
    <w:rsid w:val="00597188"/>
    <w:rsid w:val="00597C24"/>
    <w:rsid w:val="005A23DA"/>
    <w:rsid w:val="005A3BC3"/>
    <w:rsid w:val="005A6A45"/>
    <w:rsid w:val="005A6B82"/>
    <w:rsid w:val="005A77A0"/>
    <w:rsid w:val="005B0492"/>
    <w:rsid w:val="005B430E"/>
    <w:rsid w:val="005B4D2F"/>
    <w:rsid w:val="005B7D53"/>
    <w:rsid w:val="005C1056"/>
    <w:rsid w:val="005C134C"/>
    <w:rsid w:val="005C175C"/>
    <w:rsid w:val="005C4561"/>
    <w:rsid w:val="005D08FD"/>
    <w:rsid w:val="005D16D3"/>
    <w:rsid w:val="005D2036"/>
    <w:rsid w:val="005D36F3"/>
    <w:rsid w:val="005D4DB8"/>
    <w:rsid w:val="005D59A5"/>
    <w:rsid w:val="005D6258"/>
    <w:rsid w:val="005D6542"/>
    <w:rsid w:val="005D7E1B"/>
    <w:rsid w:val="005E1F0C"/>
    <w:rsid w:val="005E2A38"/>
    <w:rsid w:val="005E5DF5"/>
    <w:rsid w:val="005E775C"/>
    <w:rsid w:val="005F1BA7"/>
    <w:rsid w:val="005F3C9C"/>
    <w:rsid w:val="005F43BB"/>
    <w:rsid w:val="005F448E"/>
    <w:rsid w:val="005F5168"/>
    <w:rsid w:val="005F6F52"/>
    <w:rsid w:val="00602AD7"/>
    <w:rsid w:val="00603C08"/>
    <w:rsid w:val="0060466F"/>
    <w:rsid w:val="00605651"/>
    <w:rsid w:val="006073CC"/>
    <w:rsid w:val="0061012B"/>
    <w:rsid w:val="0061317C"/>
    <w:rsid w:val="006146B8"/>
    <w:rsid w:val="00614D7B"/>
    <w:rsid w:val="00615E97"/>
    <w:rsid w:val="006168FE"/>
    <w:rsid w:val="0061794C"/>
    <w:rsid w:val="00617CE8"/>
    <w:rsid w:val="00617FDC"/>
    <w:rsid w:val="00621926"/>
    <w:rsid w:val="006234DA"/>
    <w:rsid w:val="006309E2"/>
    <w:rsid w:val="0063281C"/>
    <w:rsid w:val="0063305A"/>
    <w:rsid w:val="00633EA5"/>
    <w:rsid w:val="00637C0E"/>
    <w:rsid w:val="0064005B"/>
    <w:rsid w:val="006400CB"/>
    <w:rsid w:val="006404E5"/>
    <w:rsid w:val="00641721"/>
    <w:rsid w:val="00643583"/>
    <w:rsid w:val="00646F6C"/>
    <w:rsid w:val="006471A5"/>
    <w:rsid w:val="00652765"/>
    <w:rsid w:val="0065325D"/>
    <w:rsid w:val="0065334F"/>
    <w:rsid w:val="00653371"/>
    <w:rsid w:val="00653E35"/>
    <w:rsid w:val="006557C3"/>
    <w:rsid w:val="006558AB"/>
    <w:rsid w:val="006605E5"/>
    <w:rsid w:val="00662AEA"/>
    <w:rsid w:val="00666630"/>
    <w:rsid w:val="00681F52"/>
    <w:rsid w:val="0068641A"/>
    <w:rsid w:val="00686F8E"/>
    <w:rsid w:val="006911E4"/>
    <w:rsid w:val="0069188F"/>
    <w:rsid w:val="006955D4"/>
    <w:rsid w:val="00696E50"/>
    <w:rsid w:val="00697189"/>
    <w:rsid w:val="006A088A"/>
    <w:rsid w:val="006A29CA"/>
    <w:rsid w:val="006A491C"/>
    <w:rsid w:val="006A7B46"/>
    <w:rsid w:val="006B6A41"/>
    <w:rsid w:val="006C25ED"/>
    <w:rsid w:val="006C2CE9"/>
    <w:rsid w:val="006C331C"/>
    <w:rsid w:val="006C370E"/>
    <w:rsid w:val="006C4AA0"/>
    <w:rsid w:val="006C514E"/>
    <w:rsid w:val="006C5F29"/>
    <w:rsid w:val="006C6115"/>
    <w:rsid w:val="006D2DCF"/>
    <w:rsid w:val="006D2E20"/>
    <w:rsid w:val="006D3E31"/>
    <w:rsid w:val="006D54BB"/>
    <w:rsid w:val="006D6AD6"/>
    <w:rsid w:val="006E0191"/>
    <w:rsid w:val="006E18D8"/>
    <w:rsid w:val="006F38CA"/>
    <w:rsid w:val="006F3D78"/>
    <w:rsid w:val="006F3ED0"/>
    <w:rsid w:val="006F54F1"/>
    <w:rsid w:val="006F68C0"/>
    <w:rsid w:val="00700432"/>
    <w:rsid w:val="00701100"/>
    <w:rsid w:val="00702936"/>
    <w:rsid w:val="0070331F"/>
    <w:rsid w:val="00703F9D"/>
    <w:rsid w:val="00710DCD"/>
    <w:rsid w:val="00712660"/>
    <w:rsid w:val="00713C1C"/>
    <w:rsid w:val="00717F31"/>
    <w:rsid w:val="007201A7"/>
    <w:rsid w:val="00722B24"/>
    <w:rsid w:val="00724FB5"/>
    <w:rsid w:val="00726B9C"/>
    <w:rsid w:val="007314FA"/>
    <w:rsid w:val="00731C5C"/>
    <w:rsid w:val="00731CB2"/>
    <w:rsid w:val="007324DA"/>
    <w:rsid w:val="00732EDF"/>
    <w:rsid w:val="00733DD9"/>
    <w:rsid w:val="00734912"/>
    <w:rsid w:val="00734B56"/>
    <w:rsid w:val="00735597"/>
    <w:rsid w:val="00740089"/>
    <w:rsid w:val="00740223"/>
    <w:rsid w:val="00743AA4"/>
    <w:rsid w:val="00743CC3"/>
    <w:rsid w:val="00745893"/>
    <w:rsid w:val="00745F9C"/>
    <w:rsid w:val="00746D09"/>
    <w:rsid w:val="00750300"/>
    <w:rsid w:val="0075061E"/>
    <w:rsid w:val="00752392"/>
    <w:rsid w:val="00755249"/>
    <w:rsid w:val="00756556"/>
    <w:rsid w:val="0075727C"/>
    <w:rsid w:val="00757A7F"/>
    <w:rsid w:val="007633FE"/>
    <w:rsid w:val="00763DC5"/>
    <w:rsid w:val="0076547C"/>
    <w:rsid w:val="00772EDB"/>
    <w:rsid w:val="0077697F"/>
    <w:rsid w:val="00777997"/>
    <w:rsid w:val="00777C80"/>
    <w:rsid w:val="00780D68"/>
    <w:rsid w:val="00785DF2"/>
    <w:rsid w:val="007873B2"/>
    <w:rsid w:val="00791E98"/>
    <w:rsid w:val="00794DD7"/>
    <w:rsid w:val="007A1A8D"/>
    <w:rsid w:val="007A240F"/>
    <w:rsid w:val="007A478B"/>
    <w:rsid w:val="007A6AE6"/>
    <w:rsid w:val="007B3933"/>
    <w:rsid w:val="007B55E9"/>
    <w:rsid w:val="007C2A8D"/>
    <w:rsid w:val="007C3EBC"/>
    <w:rsid w:val="007C4823"/>
    <w:rsid w:val="007C6070"/>
    <w:rsid w:val="007C71FD"/>
    <w:rsid w:val="007D1045"/>
    <w:rsid w:val="007D1D8F"/>
    <w:rsid w:val="007D23C8"/>
    <w:rsid w:val="007D3840"/>
    <w:rsid w:val="007D3FBE"/>
    <w:rsid w:val="007E39E6"/>
    <w:rsid w:val="007E3EC3"/>
    <w:rsid w:val="007E52C1"/>
    <w:rsid w:val="007E5FBC"/>
    <w:rsid w:val="007F4854"/>
    <w:rsid w:val="007F7D90"/>
    <w:rsid w:val="008005E9"/>
    <w:rsid w:val="0080064A"/>
    <w:rsid w:val="00802228"/>
    <w:rsid w:val="008040BB"/>
    <w:rsid w:val="00805949"/>
    <w:rsid w:val="00806220"/>
    <w:rsid w:val="008071BA"/>
    <w:rsid w:val="00807B0E"/>
    <w:rsid w:val="00811E73"/>
    <w:rsid w:val="008129C3"/>
    <w:rsid w:val="00815A1E"/>
    <w:rsid w:val="008206DC"/>
    <w:rsid w:val="008218B4"/>
    <w:rsid w:val="0082350E"/>
    <w:rsid w:val="008252AE"/>
    <w:rsid w:val="008275F6"/>
    <w:rsid w:val="008303C1"/>
    <w:rsid w:val="00830BAC"/>
    <w:rsid w:val="0083372A"/>
    <w:rsid w:val="00833F38"/>
    <w:rsid w:val="008346BB"/>
    <w:rsid w:val="00835DD1"/>
    <w:rsid w:val="00836F43"/>
    <w:rsid w:val="008375ED"/>
    <w:rsid w:val="00845714"/>
    <w:rsid w:val="00847C3C"/>
    <w:rsid w:val="00851880"/>
    <w:rsid w:val="00851ED3"/>
    <w:rsid w:val="008538AF"/>
    <w:rsid w:val="008579AF"/>
    <w:rsid w:val="008614F1"/>
    <w:rsid w:val="0086177D"/>
    <w:rsid w:val="00863F88"/>
    <w:rsid w:val="00864764"/>
    <w:rsid w:val="008649BB"/>
    <w:rsid w:val="00866537"/>
    <w:rsid w:val="00866C30"/>
    <w:rsid w:val="0086753A"/>
    <w:rsid w:val="00867C71"/>
    <w:rsid w:val="008726F0"/>
    <w:rsid w:val="00873B11"/>
    <w:rsid w:val="00873F20"/>
    <w:rsid w:val="008767EE"/>
    <w:rsid w:val="00877958"/>
    <w:rsid w:val="0088034C"/>
    <w:rsid w:val="00880FB6"/>
    <w:rsid w:val="00881E70"/>
    <w:rsid w:val="008823C3"/>
    <w:rsid w:val="0088558D"/>
    <w:rsid w:val="00886645"/>
    <w:rsid w:val="008943B5"/>
    <w:rsid w:val="008955DF"/>
    <w:rsid w:val="008A0C92"/>
    <w:rsid w:val="008A10DF"/>
    <w:rsid w:val="008A1DF5"/>
    <w:rsid w:val="008A40D4"/>
    <w:rsid w:val="008B08BA"/>
    <w:rsid w:val="008B0F36"/>
    <w:rsid w:val="008B1309"/>
    <w:rsid w:val="008B5799"/>
    <w:rsid w:val="008C079A"/>
    <w:rsid w:val="008C1061"/>
    <w:rsid w:val="008C2122"/>
    <w:rsid w:val="008C255E"/>
    <w:rsid w:val="008C49FD"/>
    <w:rsid w:val="008C4C0B"/>
    <w:rsid w:val="008C641F"/>
    <w:rsid w:val="008D010F"/>
    <w:rsid w:val="008D2DD8"/>
    <w:rsid w:val="008D47A1"/>
    <w:rsid w:val="008D78F0"/>
    <w:rsid w:val="008E5FF0"/>
    <w:rsid w:val="008E7BA6"/>
    <w:rsid w:val="008E7C65"/>
    <w:rsid w:val="008E7FA8"/>
    <w:rsid w:val="008F0566"/>
    <w:rsid w:val="008F133D"/>
    <w:rsid w:val="008F1F64"/>
    <w:rsid w:val="008F24C9"/>
    <w:rsid w:val="008F2D19"/>
    <w:rsid w:val="00900FB2"/>
    <w:rsid w:val="00901B43"/>
    <w:rsid w:val="00904ECD"/>
    <w:rsid w:val="00910774"/>
    <w:rsid w:val="00911271"/>
    <w:rsid w:val="00911A2A"/>
    <w:rsid w:val="009125BE"/>
    <w:rsid w:val="009151A4"/>
    <w:rsid w:val="00916640"/>
    <w:rsid w:val="009166CD"/>
    <w:rsid w:val="00916F17"/>
    <w:rsid w:val="00917477"/>
    <w:rsid w:val="0092498D"/>
    <w:rsid w:val="0092541D"/>
    <w:rsid w:val="00926640"/>
    <w:rsid w:val="00932321"/>
    <w:rsid w:val="0093268C"/>
    <w:rsid w:val="009346E0"/>
    <w:rsid w:val="00935897"/>
    <w:rsid w:val="009363F4"/>
    <w:rsid w:val="009404D4"/>
    <w:rsid w:val="009434D6"/>
    <w:rsid w:val="00945452"/>
    <w:rsid w:val="00947018"/>
    <w:rsid w:val="00950CD1"/>
    <w:rsid w:val="00951BAF"/>
    <w:rsid w:val="00951FB8"/>
    <w:rsid w:val="009561B7"/>
    <w:rsid w:val="009568D8"/>
    <w:rsid w:val="00956ED1"/>
    <w:rsid w:val="009572E4"/>
    <w:rsid w:val="00957649"/>
    <w:rsid w:val="00957EC6"/>
    <w:rsid w:val="0096286B"/>
    <w:rsid w:val="009628A7"/>
    <w:rsid w:val="00963199"/>
    <w:rsid w:val="009716E6"/>
    <w:rsid w:val="009734BD"/>
    <w:rsid w:val="00976E9F"/>
    <w:rsid w:val="009770A7"/>
    <w:rsid w:val="00977E46"/>
    <w:rsid w:val="00980214"/>
    <w:rsid w:val="0098176A"/>
    <w:rsid w:val="009840B6"/>
    <w:rsid w:val="0098654D"/>
    <w:rsid w:val="009869DE"/>
    <w:rsid w:val="00986BBE"/>
    <w:rsid w:val="00990E5E"/>
    <w:rsid w:val="009918DF"/>
    <w:rsid w:val="00992D4F"/>
    <w:rsid w:val="00995A48"/>
    <w:rsid w:val="009967D6"/>
    <w:rsid w:val="00996993"/>
    <w:rsid w:val="009A04A4"/>
    <w:rsid w:val="009A094B"/>
    <w:rsid w:val="009A12FB"/>
    <w:rsid w:val="009A2765"/>
    <w:rsid w:val="009A6B80"/>
    <w:rsid w:val="009A6DB5"/>
    <w:rsid w:val="009B176F"/>
    <w:rsid w:val="009B1B5D"/>
    <w:rsid w:val="009B3121"/>
    <w:rsid w:val="009B3E91"/>
    <w:rsid w:val="009B52D3"/>
    <w:rsid w:val="009B65EA"/>
    <w:rsid w:val="009B7F66"/>
    <w:rsid w:val="009C01FD"/>
    <w:rsid w:val="009C3D34"/>
    <w:rsid w:val="009C4307"/>
    <w:rsid w:val="009C69A5"/>
    <w:rsid w:val="009D0328"/>
    <w:rsid w:val="009D0CA2"/>
    <w:rsid w:val="009D0E59"/>
    <w:rsid w:val="009D7503"/>
    <w:rsid w:val="009E027A"/>
    <w:rsid w:val="009E358B"/>
    <w:rsid w:val="009E370B"/>
    <w:rsid w:val="009F0A54"/>
    <w:rsid w:val="009F0D9E"/>
    <w:rsid w:val="009F22F9"/>
    <w:rsid w:val="009F26EA"/>
    <w:rsid w:val="009F32EF"/>
    <w:rsid w:val="009F3452"/>
    <w:rsid w:val="009F57F2"/>
    <w:rsid w:val="009F6356"/>
    <w:rsid w:val="009F745E"/>
    <w:rsid w:val="00A000B0"/>
    <w:rsid w:val="00A044B0"/>
    <w:rsid w:val="00A04D70"/>
    <w:rsid w:val="00A0678A"/>
    <w:rsid w:val="00A10705"/>
    <w:rsid w:val="00A14A81"/>
    <w:rsid w:val="00A15B5F"/>
    <w:rsid w:val="00A1754B"/>
    <w:rsid w:val="00A21892"/>
    <w:rsid w:val="00A22178"/>
    <w:rsid w:val="00A2786E"/>
    <w:rsid w:val="00A27945"/>
    <w:rsid w:val="00A322A4"/>
    <w:rsid w:val="00A34F06"/>
    <w:rsid w:val="00A34FA0"/>
    <w:rsid w:val="00A35AFE"/>
    <w:rsid w:val="00A36638"/>
    <w:rsid w:val="00A37CDD"/>
    <w:rsid w:val="00A402AA"/>
    <w:rsid w:val="00A402BD"/>
    <w:rsid w:val="00A4099C"/>
    <w:rsid w:val="00A4257C"/>
    <w:rsid w:val="00A43ABA"/>
    <w:rsid w:val="00A4530D"/>
    <w:rsid w:val="00A4620A"/>
    <w:rsid w:val="00A47254"/>
    <w:rsid w:val="00A53CDC"/>
    <w:rsid w:val="00A54357"/>
    <w:rsid w:val="00A566B3"/>
    <w:rsid w:val="00A5758B"/>
    <w:rsid w:val="00A606CC"/>
    <w:rsid w:val="00A61D33"/>
    <w:rsid w:val="00A62681"/>
    <w:rsid w:val="00A67454"/>
    <w:rsid w:val="00A7061E"/>
    <w:rsid w:val="00A7089E"/>
    <w:rsid w:val="00A7125C"/>
    <w:rsid w:val="00A72935"/>
    <w:rsid w:val="00A75B82"/>
    <w:rsid w:val="00A81CD0"/>
    <w:rsid w:val="00A82441"/>
    <w:rsid w:val="00A82FC4"/>
    <w:rsid w:val="00A877A4"/>
    <w:rsid w:val="00A90E76"/>
    <w:rsid w:val="00A9289A"/>
    <w:rsid w:val="00AA2E58"/>
    <w:rsid w:val="00AB1022"/>
    <w:rsid w:val="00AB3F5D"/>
    <w:rsid w:val="00AB47D1"/>
    <w:rsid w:val="00AB50BA"/>
    <w:rsid w:val="00AB5A13"/>
    <w:rsid w:val="00AB5FB6"/>
    <w:rsid w:val="00AB7023"/>
    <w:rsid w:val="00AC0015"/>
    <w:rsid w:val="00AC278B"/>
    <w:rsid w:val="00AC6A2C"/>
    <w:rsid w:val="00AC6ED3"/>
    <w:rsid w:val="00AD27B3"/>
    <w:rsid w:val="00AD637B"/>
    <w:rsid w:val="00AE0675"/>
    <w:rsid w:val="00AE38A1"/>
    <w:rsid w:val="00AE598D"/>
    <w:rsid w:val="00AE5DC8"/>
    <w:rsid w:val="00AE7790"/>
    <w:rsid w:val="00AF05FC"/>
    <w:rsid w:val="00AF170F"/>
    <w:rsid w:val="00AF2203"/>
    <w:rsid w:val="00AF49D0"/>
    <w:rsid w:val="00AF4A4A"/>
    <w:rsid w:val="00AF6458"/>
    <w:rsid w:val="00B04496"/>
    <w:rsid w:val="00B06ED5"/>
    <w:rsid w:val="00B06EDF"/>
    <w:rsid w:val="00B13347"/>
    <w:rsid w:val="00B14B9C"/>
    <w:rsid w:val="00B14D3D"/>
    <w:rsid w:val="00B14F4B"/>
    <w:rsid w:val="00B15DD4"/>
    <w:rsid w:val="00B17920"/>
    <w:rsid w:val="00B20956"/>
    <w:rsid w:val="00B2348F"/>
    <w:rsid w:val="00B237B7"/>
    <w:rsid w:val="00B2561A"/>
    <w:rsid w:val="00B25DC1"/>
    <w:rsid w:val="00B32327"/>
    <w:rsid w:val="00B3348C"/>
    <w:rsid w:val="00B3378C"/>
    <w:rsid w:val="00B33D29"/>
    <w:rsid w:val="00B348AA"/>
    <w:rsid w:val="00B35486"/>
    <w:rsid w:val="00B359DB"/>
    <w:rsid w:val="00B369A5"/>
    <w:rsid w:val="00B37BC5"/>
    <w:rsid w:val="00B46AD8"/>
    <w:rsid w:val="00B47A11"/>
    <w:rsid w:val="00B54F55"/>
    <w:rsid w:val="00B553FE"/>
    <w:rsid w:val="00B55CC3"/>
    <w:rsid w:val="00B55E34"/>
    <w:rsid w:val="00B60A61"/>
    <w:rsid w:val="00B62649"/>
    <w:rsid w:val="00B62B40"/>
    <w:rsid w:val="00B665C3"/>
    <w:rsid w:val="00B667BC"/>
    <w:rsid w:val="00B67414"/>
    <w:rsid w:val="00B67D6A"/>
    <w:rsid w:val="00B70AF3"/>
    <w:rsid w:val="00B71C51"/>
    <w:rsid w:val="00B75450"/>
    <w:rsid w:val="00B75CC3"/>
    <w:rsid w:val="00B76CC2"/>
    <w:rsid w:val="00B7794C"/>
    <w:rsid w:val="00B80424"/>
    <w:rsid w:val="00B8125B"/>
    <w:rsid w:val="00B82BBB"/>
    <w:rsid w:val="00B91282"/>
    <w:rsid w:val="00B94000"/>
    <w:rsid w:val="00B95E43"/>
    <w:rsid w:val="00BA553E"/>
    <w:rsid w:val="00BA778A"/>
    <w:rsid w:val="00BA7C4F"/>
    <w:rsid w:val="00BB3E00"/>
    <w:rsid w:val="00BB3EA0"/>
    <w:rsid w:val="00BB6012"/>
    <w:rsid w:val="00BB76DF"/>
    <w:rsid w:val="00BC16E2"/>
    <w:rsid w:val="00BC3BA7"/>
    <w:rsid w:val="00BC48A9"/>
    <w:rsid w:val="00BC4C93"/>
    <w:rsid w:val="00BC7E50"/>
    <w:rsid w:val="00BD1702"/>
    <w:rsid w:val="00BD31DD"/>
    <w:rsid w:val="00BD6BFA"/>
    <w:rsid w:val="00BD7E2B"/>
    <w:rsid w:val="00BE7513"/>
    <w:rsid w:val="00BE77CE"/>
    <w:rsid w:val="00BF2278"/>
    <w:rsid w:val="00BF2E63"/>
    <w:rsid w:val="00BF43CD"/>
    <w:rsid w:val="00BF4899"/>
    <w:rsid w:val="00BF4BFE"/>
    <w:rsid w:val="00BF5013"/>
    <w:rsid w:val="00C00C78"/>
    <w:rsid w:val="00C01AFA"/>
    <w:rsid w:val="00C021A8"/>
    <w:rsid w:val="00C04D04"/>
    <w:rsid w:val="00C0750E"/>
    <w:rsid w:val="00C10A56"/>
    <w:rsid w:val="00C10DEB"/>
    <w:rsid w:val="00C12D9E"/>
    <w:rsid w:val="00C14149"/>
    <w:rsid w:val="00C16BAB"/>
    <w:rsid w:val="00C20038"/>
    <w:rsid w:val="00C206E7"/>
    <w:rsid w:val="00C220BF"/>
    <w:rsid w:val="00C22122"/>
    <w:rsid w:val="00C24118"/>
    <w:rsid w:val="00C24EB5"/>
    <w:rsid w:val="00C31296"/>
    <w:rsid w:val="00C3230A"/>
    <w:rsid w:val="00C40018"/>
    <w:rsid w:val="00C413BD"/>
    <w:rsid w:val="00C414C4"/>
    <w:rsid w:val="00C4293B"/>
    <w:rsid w:val="00C43536"/>
    <w:rsid w:val="00C44ED1"/>
    <w:rsid w:val="00C454E1"/>
    <w:rsid w:val="00C469D3"/>
    <w:rsid w:val="00C46BC6"/>
    <w:rsid w:val="00C50159"/>
    <w:rsid w:val="00C50186"/>
    <w:rsid w:val="00C50909"/>
    <w:rsid w:val="00C539A6"/>
    <w:rsid w:val="00C53B34"/>
    <w:rsid w:val="00C56CD4"/>
    <w:rsid w:val="00C56E15"/>
    <w:rsid w:val="00C5707E"/>
    <w:rsid w:val="00C60060"/>
    <w:rsid w:val="00C6383D"/>
    <w:rsid w:val="00C6575B"/>
    <w:rsid w:val="00C66B10"/>
    <w:rsid w:val="00C7001B"/>
    <w:rsid w:val="00C733B5"/>
    <w:rsid w:val="00C73723"/>
    <w:rsid w:val="00C740B7"/>
    <w:rsid w:val="00C7463A"/>
    <w:rsid w:val="00C80517"/>
    <w:rsid w:val="00C8154C"/>
    <w:rsid w:val="00C81AA2"/>
    <w:rsid w:val="00C82907"/>
    <w:rsid w:val="00C83FE2"/>
    <w:rsid w:val="00C878E4"/>
    <w:rsid w:val="00C91393"/>
    <w:rsid w:val="00C92DAE"/>
    <w:rsid w:val="00C93341"/>
    <w:rsid w:val="00C94E19"/>
    <w:rsid w:val="00CA075C"/>
    <w:rsid w:val="00CA3E77"/>
    <w:rsid w:val="00CA4CCE"/>
    <w:rsid w:val="00CA7395"/>
    <w:rsid w:val="00CB06E3"/>
    <w:rsid w:val="00CB0BC2"/>
    <w:rsid w:val="00CB36DC"/>
    <w:rsid w:val="00CB6FD4"/>
    <w:rsid w:val="00CC1ACD"/>
    <w:rsid w:val="00CC1CC7"/>
    <w:rsid w:val="00CC2BE0"/>
    <w:rsid w:val="00CC2DF9"/>
    <w:rsid w:val="00CC7A9B"/>
    <w:rsid w:val="00CD01B3"/>
    <w:rsid w:val="00CD36E6"/>
    <w:rsid w:val="00CD6315"/>
    <w:rsid w:val="00CD6A83"/>
    <w:rsid w:val="00CE4C85"/>
    <w:rsid w:val="00CE59C8"/>
    <w:rsid w:val="00CF00DD"/>
    <w:rsid w:val="00CF3733"/>
    <w:rsid w:val="00CF6B89"/>
    <w:rsid w:val="00CF7332"/>
    <w:rsid w:val="00CF739F"/>
    <w:rsid w:val="00CF7C56"/>
    <w:rsid w:val="00D0082C"/>
    <w:rsid w:val="00D00E4B"/>
    <w:rsid w:val="00D01494"/>
    <w:rsid w:val="00D04120"/>
    <w:rsid w:val="00D048D2"/>
    <w:rsid w:val="00D06DF3"/>
    <w:rsid w:val="00D07E35"/>
    <w:rsid w:val="00D1304F"/>
    <w:rsid w:val="00D1384E"/>
    <w:rsid w:val="00D1429A"/>
    <w:rsid w:val="00D15028"/>
    <w:rsid w:val="00D1562C"/>
    <w:rsid w:val="00D1725C"/>
    <w:rsid w:val="00D17E13"/>
    <w:rsid w:val="00D20E58"/>
    <w:rsid w:val="00D25E24"/>
    <w:rsid w:val="00D25E5A"/>
    <w:rsid w:val="00D26C2C"/>
    <w:rsid w:val="00D279B0"/>
    <w:rsid w:val="00D30908"/>
    <w:rsid w:val="00D31DDC"/>
    <w:rsid w:val="00D3365D"/>
    <w:rsid w:val="00D352F9"/>
    <w:rsid w:val="00D363F8"/>
    <w:rsid w:val="00D37465"/>
    <w:rsid w:val="00D37513"/>
    <w:rsid w:val="00D40F45"/>
    <w:rsid w:val="00D4160F"/>
    <w:rsid w:val="00D416A6"/>
    <w:rsid w:val="00D449FF"/>
    <w:rsid w:val="00D4524B"/>
    <w:rsid w:val="00D45957"/>
    <w:rsid w:val="00D46C04"/>
    <w:rsid w:val="00D478E6"/>
    <w:rsid w:val="00D47A74"/>
    <w:rsid w:val="00D47EDA"/>
    <w:rsid w:val="00D47EE0"/>
    <w:rsid w:val="00D52A46"/>
    <w:rsid w:val="00D52C4F"/>
    <w:rsid w:val="00D52D56"/>
    <w:rsid w:val="00D57C9A"/>
    <w:rsid w:val="00D6153E"/>
    <w:rsid w:val="00D6158C"/>
    <w:rsid w:val="00D61944"/>
    <w:rsid w:val="00D628B2"/>
    <w:rsid w:val="00D64437"/>
    <w:rsid w:val="00D6575A"/>
    <w:rsid w:val="00D706A8"/>
    <w:rsid w:val="00D71D7F"/>
    <w:rsid w:val="00D72776"/>
    <w:rsid w:val="00D730B2"/>
    <w:rsid w:val="00D7509B"/>
    <w:rsid w:val="00D76608"/>
    <w:rsid w:val="00D76813"/>
    <w:rsid w:val="00D7772A"/>
    <w:rsid w:val="00D77CED"/>
    <w:rsid w:val="00D77E75"/>
    <w:rsid w:val="00D82218"/>
    <w:rsid w:val="00D84488"/>
    <w:rsid w:val="00D84E43"/>
    <w:rsid w:val="00D8775F"/>
    <w:rsid w:val="00D91103"/>
    <w:rsid w:val="00DA0544"/>
    <w:rsid w:val="00DA0EC7"/>
    <w:rsid w:val="00DA3603"/>
    <w:rsid w:val="00DA4744"/>
    <w:rsid w:val="00DA4C02"/>
    <w:rsid w:val="00DA7A4C"/>
    <w:rsid w:val="00DB2BEF"/>
    <w:rsid w:val="00DB61FF"/>
    <w:rsid w:val="00DB73CF"/>
    <w:rsid w:val="00DB741F"/>
    <w:rsid w:val="00DC0A18"/>
    <w:rsid w:val="00DC0F16"/>
    <w:rsid w:val="00DC1D29"/>
    <w:rsid w:val="00DC305F"/>
    <w:rsid w:val="00DC74C2"/>
    <w:rsid w:val="00DC757C"/>
    <w:rsid w:val="00DD2EBF"/>
    <w:rsid w:val="00DD69A5"/>
    <w:rsid w:val="00DE0D13"/>
    <w:rsid w:val="00DE3BB5"/>
    <w:rsid w:val="00DE7C9A"/>
    <w:rsid w:val="00DE7CAF"/>
    <w:rsid w:val="00DF0DFE"/>
    <w:rsid w:val="00DF37E6"/>
    <w:rsid w:val="00E03253"/>
    <w:rsid w:val="00E04E6A"/>
    <w:rsid w:val="00E05A51"/>
    <w:rsid w:val="00E15EA0"/>
    <w:rsid w:val="00E1789D"/>
    <w:rsid w:val="00E2016E"/>
    <w:rsid w:val="00E20A2C"/>
    <w:rsid w:val="00E2406B"/>
    <w:rsid w:val="00E2423B"/>
    <w:rsid w:val="00E24391"/>
    <w:rsid w:val="00E32429"/>
    <w:rsid w:val="00E33F7D"/>
    <w:rsid w:val="00E355C4"/>
    <w:rsid w:val="00E358EA"/>
    <w:rsid w:val="00E372D3"/>
    <w:rsid w:val="00E4135A"/>
    <w:rsid w:val="00E444AB"/>
    <w:rsid w:val="00E45718"/>
    <w:rsid w:val="00E468FC"/>
    <w:rsid w:val="00E46DB1"/>
    <w:rsid w:val="00E53555"/>
    <w:rsid w:val="00E57069"/>
    <w:rsid w:val="00E57587"/>
    <w:rsid w:val="00E650D2"/>
    <w:rsid w:val="00E652F3"/>
    <w:rsid w:val="00E65F06"/>
    <w:rsid w:val="00E7029B"/>
    <w:rsid w:val="00E70CD8"/>
    <w:rsid w:val="00E72884"/>
    <w:rsid w:val="00E74B86"/>
    <w:rsid w:val="00E768C3"/>
    <w:rsid w:val="00E76AB2"/>
    <w:rsid w:val="00E776E5"/>
    <w:rsid w:val="00E77E77"/>
    <w:rsid w:val="00E80099"/>
    <w:rsid w:val="00E830CD"/>
    <w:rsid w:val="00E85900"/>
    <w:rsid w:val="00E86997"/>
    <w:rsid w:val="00E87EE4"/>
    <w:rsid w:val="00E90E81"/>
    <w:rsid w:val="00E91DF3"/>
    <w:rsid w:val="00E929F8"/>
    <w:rsid w:val="00E92BE7"/>
    <w:rsid w:val="00E946F1"/>
    <w:rsid w:val="00E97FBE"/>
    <w:rsid w:val="00EA03BC"/>
    <w:rsid w:val="00EA04D9"/>
    <w:rsid w:val="00EA1A10"/>
    <w:rsid w:val="00EA221B"/>
    <w:rsid w:val="00EA48E7"/>
    <w:rsid w:val="00EB10EC"/>
    <w:rsid w:val="00EB153A"/>
    <w:rsid w:val="00EB44F3"/>
    <w:rsid w:val="00EB4E6E"/>
    <w:rsid w:val="00EB5009"/>
    <w:rsid w:val="00EB62B2"/>
    <w:rsid w:val="00EC117D"/>
    <w:rsid w:val="00EC3FB0"/>
    <w:rsid w:val="00ED02E1"/>
    <w:rsid w:val="00ED1E2F"/>
    <w:rsid w:val="00ED2B25"/>
    <w:rsid w:val="00ED2DFF"/>
    <w:rsid w:val="00ED3FD0"/>
    <w:rsid w:val="00ED7289"/>
    <w:rsid w:val="00EE1DAC"/>
    <w:rsid w:val="00EE4B71"/>
    <w:rsid w:val="00EE5157"/>
    <w:rsid w:val="00EE5658"/>
    <w:rsid w:val="00EE70C6"/>
    <w:rsid w:val="00EF0D9F"/>
    <w:rsid w:val="00EF13BC"/>
    <w:rsid w:val="00EF194B"/>
    <w:rsid w:val="00EF52D6"/>
    <w:rsid w:val="00EF7C4E"/>
    <w:rsid w:val="00F0250E"/>
    <w:rsid w:val="00F03EC6"/>
    <w:rsid w:val="00F05E51"/>
    <w:rsid w:val="00F06BB8"/>
    <w:rsid w:val="00F07D41"/>
    <w:rsid w:val="00F10827"/>
    <w:rsid w:val="00F14A61"/>
    <w:rsid w:val="00F15EF7"/>
    <w:rsid w:val="00F16558"/>
    <w:rsid w:val="00F16DF3"/>
    <w:rsid w:val="00F175EE"/>
    <w:rsid w:val="00F2019A"/>
    <w:rsid w:val="00F2312D"/>
    <w:rsid w:val="00F244DB"/>
    <w:rsid w:val="00F257E1"/>
    <w:rsid w:val="00F272E4"/>
    <w:rsid w:val="00F27BBA"/>
    <w:rsid w:val="00F31789"/>
    <w:rsid w:val="00F31877"/>
    <w:rsid w:val="00F33D2B"/>
    <w:rsid w:val="00F349B2"/>
    <w:rsid w:val="00F3691F"/>
    <w:rsid w:val="00F36D2F"/>
    <w:rsid w:val="00F3786F"/>
    <w:rsid w:val="00F4208D"/>
    <w:rsid w:val="00F47100"/>
    <w:rsid w:val="00F514B4"/>
    <w:rsid w:val="00F51A7F"/>
    <w:rsid w:val="00F523DE"/>
    <w:rsid w:val="00F5260A"/>
    <w:rsid w:val="00F5372F"/>
    <w:rsid w:val="00F55808"/>
    <w:rsid w:val="00F572CC"/>
    <w:rsid w:val="00F600F0"/>
    <w:rsid w:val="00F63985"/>
    <w:rsid w:val="00F651FA"/>
    <w:rsid w:val="00F65DD3"/>
    <w:rsid w:val="00F65EA6"/>
    <w:rsid w:val="00F66656"/>
    <w:rsid w:val="00F66732"/>
    <w:rsid w:val="00F7104A"/>
    <w:rsid w:val="00F711BD"/>
    <w:rsid w:val="00F7405E"/>
    <w:rsid w:val="00F7541F"/>
    <w:rsid w:val="00F754BB"/>
    <w:rsid w:val="00F763BA"/>
    <w:rsid w:val="00F77F20"/>
    <w:rsid w:val="00F802C1"/>
    <w:rsid w:val="00F8118E"/>
    <w:rsid w:val="00F84713"/>
    <w:rsid w:val="00F84DA2"/>
    <w:rsid w:val="00F931B6"/>
    <w:rsid w:val="00F93E9C"/>
    <w:rsid w:val="00F94744"/>
    <w:rsid w:val="00F96832"/>
    <w:rsid w:val="00FA05AE"/>
    <w:rsid w:val="00FA1DB6"/>
    <w:rsid w:val="00FA444A"/>
    <w:rsid w:val="00FB05CE"/>
    <w:rsid w:val="00FB32F9"/>
    <w:rsid w:val="00FB363C"/>
    <w:rsid w:val="00FB7329"/>
    <w:rsid w:val="00FC0061"/>
    <w:rsid w:val="00FC049E"/>
    <w:rsid w:val="00FC0A33"/>
    <w:rsid w:val="00FC566F"/>
    <w:rsid w:val="00FC5DB5"/>
    <w:rsid w:val="00FC6918"/>
    <w:rsid w:val="00FD0066"/>
    <w:rsid w:val="00FD16B3"/>
    <w:rsid w:val="00FD2808"/>
    <w:rsid w:val="00FD47A9"/>
    <w:rsid w:val="00FD4FF8"/>
    <w:rsid w:val="00FD6AAD"/>
    <w:rsid w:val="00FD6B9E"/>
    <w:rsid w:val="00FD7208"/>
    <w:rsid w:val="00FE3BA1"/>
    <w:rsid w:val="00FF14F6"/>
    <w:rsid w:val="00FF1B6F"/>
    <w:rsid w:val="00FF4491"/>
    <w:rsid w:val="00FF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DEA52"/>
  <w14:defaultImageDpi w14:val="330"/>
  <w15:chartTrackingRefBased/>
  <w15:docId w15:val="{F27F3646-AB0C-444C-9833-034D50E8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7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7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B0E"/>
    <w:rPr>
      <w:rFonts w:eastAsiaTheme="majorEastAsia" w:cstheme="majorBidi"/>
      <w:color w:val="272727" w:themeColor="text1" w:themeTint="D8"/>
    </w:rPr>
  </w:style>
  <w:style w:type="paragraph" w:styleId="Title">
    <w:name w:val="Title"/>
    <w:basedOn w:val="Normal"/>
    <w:next w:val="Normal"/>
    <w:link w:val="TitleChar"/>
    <w:uiPriority w:val="10"/>
    <w:qFormat/>
    <w:rsid w:val="00807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B0E"/>
    <w:pPr>
      <w:spacing w:before="160"/>
      <w:jc w:val="center"/>
    </w:pPr>
    <w:rPr>
      <w:i/>
      <w:iCs/>
      <w:color w:val="404040" w:themeColor="text1" w:themeTint="BF"/>
    </w:rPr>
  </w:style>
  <w:style w:type="character" w:customStyle="1" w:styleId="QuoteChar">
    <w:name w:val="Quote Char"/>
    <w:basedOn w:val="DefaultParagraphFont"/>
    <w:link w:val="Quote"/>
    <w:uiPriority w:val="29"/>
    <w:rsid w:val="00807B0E"/>
    <w:rPr>
      <w:i/>
      <w:iCs/>
      <w:color w:val="404040" w:themeColor="text1" w:themeTint="BF"/>
    </w:rPr>
  </w:style>
  <w:style w:type="paragraph" w:styleId="ListParagraph">
    <w:name w:val="List Paragraph"/>
    <w:basedOn w:val="Normal"/>
    <w:uiPriority w:val="34"/>
    <w:qFormat/>
    <w:rsid w:val="00807B0E"/>
    <w:pPr>
      <w:ind w:left="720"/>
      <w:contextualSpacing/>
    </w:pPr>
  </w:style>
  <w:style w:type="character" w:styleId="IntenseEmphasis">
    <w:name w:val="Intense Emphasis"/>
    <w:basedOn w:val="DefaultParagraphFont"/>
    <w:uiPriority w:val="21"/>
    <w:qFormat/>
    <w:rsid w:val="00807B0E"/>
    <w:rPr>
      <w:i/>
      <w:iCs/>
      <w:color w:val="0F4761" w:themeColor="accent1" w:themeShade="BF"/>
    </w:rPr>
  </w:style>
  <w:style w:type="paragraph" w:styleId="IntenseQuote">
    <w:name w:val="Intense Quote"/>
    <w:basedOn w:val="Normal"/>
    <w:next w:val="Normal"/>
    <w:link w:val="IntenseQuoteChar"/>
    <w:uiPriority w:val="30"/>
    <w:qFormat/>
    <w:rsid w:val="00807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B0E"/>
    <w:rPr>
      <w:i/>
      <w:iCs/>
      <w:color w:val="0F4761" w:themeColor="accent1" w:themeShade="BF"/>
    </w:rPr>
  </w:style>
  <w:style w:type="character" w:styleId="IntenseReference">
    <w:name w:val="Intense Reference"/>
    <w:basedOn w:val="DefaultParagraphFont"/>
    <w:uiPriority w:val="32"/>
    <w:qFormat/>
    <w:rsid w:val="00807B0E"/>
    <w:rPr>
      <w:b/>
      <w:bCs/>
      <w:smallCaps/>
      <w:color w:val="0F4761" w:themeColor="accent1" w:themeShade="BF"/>
      <w:spacing w:val="5"/>
    </w:rPr>
  </w:style>
  <w:style w:type="paragraph" w:styleId="Header">
    <w:name w:val="header"/>
    <w:basedOn w:val="Normal"/>
    <w:link w:val="HeaderChar"/>
    <w:uiPriority w:val="99"/>
    <w:unhideWhenUsed/>
    <w:rsid w:val="008C6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41F"/>
  </w:style>
  <w:style w:type="paragraph" w:styleId="Footer">
    <w:name w:val="footer"/>
    <w:basedOn w:val="Normal"/>
    <w:link w:val="FooterChar"/>
    <w:uiPriority w:val="99"/>
    <w:unhideWhenUsed/>
    <w:rsid w:val="008C6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41F"/>
  </w:style>
  <w:style w:type="paragraph" w:styleId="Caption">
    <w:name w:val="caption"/>
    <w:basedOn w:val="Normal"/>
    <w:next w:val="Normal"/>
    <w:uiPriority w:val="35"/>
    <w:unhideWhenUsed/>
    <w:qFormat/>
    <w:rsid w:val="008C641F"/>
    <w:pPr>
      <w:spacing w:after="200" w:line="240" w:lineRule="auto"/>
    </w:pPr>
    <w:rPr>
      <w:i/>
      <w:iCs/>
      <w:color w:val="0E2841" w:themeColor="text2"/>
      <w:sz w:val="18"/>
      <w:szCs w:val="18"/>
    </w:rPr>
  </w:style>
  <w:style w:type="character" w:styleId="Hyperlink">
    <w:name w:val="Hyperlink"/>
    <w:basedOn w:val="DefaultParagraphFont"/>
    <w:uiPriority w:val="99"/>
    <w:unhideWhenUsed/>
    <w:rsid w:val="004436B8"/>
    <w:rPr>
      <w:color w:val="467886" w:themeColor="hyperlink"/>
      <w:u w:val="single"/>
    </w:rPr>
  </w:style>
  <w:style w:type="character" w:styleId="UnresolvedMention">
    <w:name w:val="Unresolved Mention"/>
    <w:basedOn w:val="DefaultParagraphFont"/>
    <w:uiPriority w:val="99"/>
    <w:semiHidden/>
    <w:unhideWhenUsed/>
    <w:rsid w:val="004436B8"/>
    <w:rPr>
      <w:color w:val="605E5C"/>
      <w:shd w:val="clear" w:color="auto" w:fill="E1DFDD"/>
    </w:rPr>
  </w:style>
  <w:style w:type="character" w:styleId="FollowedHyperlink">
    <w:name w:val="FollowedHyperlink"/>
    <w:basedOn w:val="DefaultParagraphFont"/>
    <w:uiPriority w:val="99"/>
    <w:semiHidden/>
    <w:unhideWhenUsed/>
    <w:rsid w:val="00254FFE"/>
    <w:rPr>
      <w:color w:val="96607D" w:themeColor="followedHyperlink"/>
      <w:u w:val="single"/>
    </w:rPr>
  </w:style>
  <w:style w:type="paragraph" w:styleId="NormalWeb">
    <w:name w:val="Normal (Web)"/>
    <w:basedOn w:val="Normal"/>
    <w:uiPriority w:val="99"/>
    <w:semiHidden/>
    <w:unhideWhenUsed/>
    <w:rsid w:val="000B5F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700432"/>
    <w:rPr>
      <w:color w:val="666666"/>
    </w:rPr>
  </w:style>
  <w:style w:type="table" w:styleId="TableGrid">
    <w:name w:val="Table Grid"/>
    <w:basedOn w:val="TableNormal"/>
    <w:uiPriority w:val="39"/>
    <w:rsid w:val="0008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_caption"/>
    <w:basedOn w:val="Normal"/>
    <w:rsid w:val="00E57587"/>
    <w:pPr>
      <w:numPr>
        <w:numId w:val="2"/>
      </w:numPr>
      <w:spacing w:before="240" w:after="240" w:line="240" w:lineRule="auto"/>
      <w:jc w:val="center"/>
    </w:pPr>
    <w:rPr>
      <w:rFonts w:ascii="Times New Roman" w:eastAsia="Times New Roman" w:hAnsi="Times New Roman" w:cs="Times New Roman"/>
      <w:kern w:val="0"/>
      <w:sz w:val="18"/>
      <w14:ligatures w14:val="none"/>
    </w:rPr>
  </w:style>
  <w:style w:type="paragraph" w:customStyle="1" w:styleId="textbody">
    <w:name w:val="text_body"/>
    <w:basedOn w:val="Normal"/>
    <w:rsid w:val="00FD6B9E"/>
    <w:pPr>
      <w:spacing w:after="0" w:line="240" w:lineRule="auto"/>
      <w:ind w:firstLine="284"/>
      <w:jc w:val="both"/>
    </w:pPr>
    <w:rPr>
      <w:rFonts w:ascii="Times New Roman" w:eastAsia="Times New Roman" w:hAnsi="Times New Roman"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11714">
      <w:bodyDiv w:val="1"/>
      <w:marLeft w:val="0"/>
      <w:marRight w:val="0"/>
      <w:marTop w:val="0"/>
      <w:marBottom w:val="0"/>
      <w:divBdr>
        <w:top w:val="none" w:sz="0" w:space="0" w:color="auto"/>
        <w:left w:val="none" w:sz="0" w:space="0" w:color="auto"/>
        <w:bottom w:val="none" w:sz="0" w:space="0" w:color="auto"/>
        <w:right w:val="none" w:sz="0" w:space="0" w:color="auto"/>
      </w:divBdr>
    </w:div>
    <w:div w:id="14627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A1C7F-0932-4410-884A-16051FA0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Cable, Bus Duct and Bus Pipe Capacity Sizing</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Zonal Load Factor Analysis</dc:title>
  <dc:subject/>
  <dc:creator>Norbert Doerry</dc:creator>
  <cp:keywords/>
  <dc:description/>
  <cp:lastModifiedBy>Norbert Doerry</cp:lastModifiedBy>
  <cp:revision>6</cp:revision>
  <cp:lastPrinted>2026-05-26T15:04:00Z</cp:lastPrinted>
  <dcterms:created xsi:type="dcterms:W3CDTF">2026-05-26T13:47:00Z</dcterms:created>
  <dcterms:modified xsi:type="dcterms:W3CDTF">2026-05-26T15:04:00Z</dcterms:modified>
</cp:coreProperties>
</file>